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8C" w:rsidRPr="00F975D0" w:rsidRDefault="00CF648C" w:rsidP="00CF648C">
      <w:pPr>
        <w:jc w:val="center"/>
        <w:rPr>
          <w:rFonts w:eastAsiaTheme="minorEastAsia"/>
          <w:b/>
          <w:sz w:val="28"/>
          <w:szCs w:val="28"/>
          <w:u w:val="single"/>
        </w:rPr>
      </w:pPr>
      <w:r w:rsidRPr="00F975D0">
        <w:rPr>
          <w:rFonts w:eastAsiaTheme="minorEastAsia"/>
          <w:b/>
          <w:sz w:val="28"/>
          <w:szCs w:val="28"/>
          <w:u w:val="single"/>
        </w:rPr>
        <w:t xml:space="preserve">INFORME </w:t>
      </w:r>
      <w:r>
        <w:rPr>
          <w:rFonts w:eastAsiaTheme="minorEastAsia"/>
          <w:b/>
          <w:sz w:val="28"/>
          <w:szCs w:val="28"/>
          <w:u w:val="single"/>
        </w:rPr>
        <w:t xml:space="preserve">TECNICO ECONÓMICO PARA LA ADECUACIÓN, ANALISIS Y PRESENTACIÓN </w:t>
      </w:r>
      <w:r w:rsidRPr="00F975D0">
        <w:rPr>
          <w:rFonts w:eastAsiaTheme="minorEastAsia"/>
          <w:b/>
          <w:sz w:val="28"/>
          <w:szCs w:val="28"/>
          <w:u w:val="single"/>
        </w:rPr>
        <w:t>DE</w:t>
      </w:r>
      <w:r>
        <w:rPr>
          <w:rFonts w:eastAsiaTheme="minorEastAsia"/>
          <w:b/>
          <w:sz w:val="28"/>
          <w:szCs w:val="28"/>
          <w:u w:val="single"/>
        </w:rPr>
        <w:t>L PROYECTO DE</w:t>
      </w:r>
      <w:r w:rsidR="00A311B2">
        <w:rPr>
          <w:rFonts w:eastAsiaTheme="minorEastAsia"/>
          <w:b/>
          <w:sz w:val="28"/>
          <w:szCs w:val="28"/>
          <w:u w:val="single"/>
        </w:rPr>
        <w:t>L</w:t>
      </w:r>
      <w:r>
        <w:rPr>
          <w:rFonts w:eastAsiaTheme="minorEastAsia"/>
          <w:b/>
          <w:sz w:val="28"/>
          <w:szCs w:val="28"/>
          <w:u w:val="single"/>
        </w:rPr>
        <w:t xml:space="preserve"> </w:t>
      </w:r>
      <w:r w:rsidR="00A311B2" w:rsidRPr="00A311B2">
        <w:rPr>
          <w:rFonts w:eastAsiaTheme="minorEastAsia"/>
          <w:b/>
          <w:sz w:val="28"/>
          <w:szCs w:val="28"/>
          <w:u w:val="single"/>
        </w:rPr>
        <w:t>REGLAMENTO DE DERECHOS POR OTORGAMIENTO DE TÍTULOS HABILITANTES Y TARIFAS PARA SERVICIOS DE RADIODIFUSIÓN</w:t>
      </w:r>
      <w:r>
        <w:rPr>
          <w:rFonts w:eastAsiaTheme="minorEastAsia"/>
          <w:b/>
          <w:sz w:val="28"/>
          <w:szCs w:val="28"/>
          <w:u w:val="single"/>
        </w:rPr>
        <w:t>.</w:t>
      </w:r>
    </w:p>
    <w:p w:rsidR="00CF648C" w:rsidRPr="00F975D0" w:rsidRDefault="00CF648C" w:rsidP="00CF648C">
      <w:pPr>
        <w:jc w:val="both"/>
        <w:rPr>
          <w:rFonts w:eastAsiaTheme="minorEastAsia"/>
          <w:sz w:val="24"/>
          <w:szCs w:val="24"/>
          <w:lang w:val="es-ES"/>
        </w:rPr>
      </w:pPr>
      <w:r w:rsidRPr="00F975D0">
        <w:rPr>
          <w:rFonts w:eastAsiaTheme="minorEastAsia"/>
          <w:b/>
          <w:sz w:val="24"/>
          <w:szCs w:val="24"/>
          <w:lang w:val="es-ES"/>
        </w:rPr>
        <w:t>Fecha:</w:t>
      </w:r>
      <w:r>
        <w:rPr>
          <w:rFonts w:eastAsiaTheme="minorEastAsia"/>
          <w:sz w:val="24"/>
          <w:szCs w:val="24"/>
          <w:lang w:val="es-ES"/>
        </w:rPr>
        <w:t xml:space="preserve"> </w:t>
      </w:r>
      <w:r w:rsidR="00C82DCF">
        <w:rPr>
          <w:rFonts w:eastAsiaTheme="minorEastAsia"/>
          <w:sz w:val="24"/>
          <w:szCs w:val="24"/>
          <w:lang w:val="es-ES"/>
        </w:rPr>
        <w:t>25 de Enero de 2016</w:t>
      </w:r>
    </w:p>
    <w:p w:rsidR="00CF648C" w:rsidRPr="00F975D0" w:rsidRDefault="00CF648C" w:rsidP="00CF648C">
      <w:pPr>
        <w:pStyle w:val="Prrafodelista"/>
        <w:numPr>
          <w:ilvl w:val="0"/>
          <w:numId w:val="13"/>
        </w:numPr>
        <w:ind w:left="567" w:hanging="567"/>
        <w:rPr>
          <w:rFonts w:eastAsiaTheme="minorEastAsia"/>
          <w:b/>
          <w:sz w:val="28"/>
          <w:szCs w:val="28"/>
        </w:rPr>
      </w:pPr>
      <w:r>
        <w:rPr>
          <w:rFonts w:eastAsiaTheme="minorEastAsia"/>
          <w:b/>
          <w:sz w:val="28"/>
          <w:szCs w:val="28"/>
        </w:rPr>
        <w:t>OBJETIVO</w:t>
      </w:r>
    </w:p>
    <w:p w:rsidR="00CF648C" w:rsidRPr="00F975D0" w:rsidRDefault="00CF648C" w:rsidP="00CF648C">
      <w:pPr>
        <w:jc w:val="both"/>
        <w:rPr>
          <w:rFonts w:eastAsiaTheme="minorEastAsia"/>
          <w:sz w:val="24"/>
          <w:szCs w:val="24"/>
          <w:lang w:val="es-ES"/>
        </w:rPr>
      </w:pPr>
      <w:r w:rsidRPr="00F975D0">
        <w:rPr>
          <w:rFonts w:eastAsiaTheme="minorEastAsia"/>
          <w:sz w:val="24"/>
          <w:szCs w:val="24"/>
        </w:rPr>
        <w:t xml:space="preserve">Analizar, </w:t>
      </w:r>
      <w:r>
        <w:rPr>
          <w:rFonts w:eastAsiaTheme="minorEastAsia"/>
          <w:sz w:val="24"/>
          <w:szCs w:val="24"/>
        </w:rPr>
        <w:t xml:space="preserve">adecuar, </w:t>
      </w:r>
      <w:r w:rsidRPr="00F975D0">
        <w:rPr>
          <w:rFonts w:eastAsiaTheme="minorEastAsia"/>
          <w:sz w:val="24"/>
          <w:szCs w:val="24"/>
        </w:rPr>
        <w:t xml:space="preserve">unificar y </w:t>
      </w:r>
      <w:r w:rsidRPr="00F975D0">
        <w:rPr>
          <w:rFonts w:eastAsiaTheme="minorEastAsia"/>
          <w:sz w:val="24"/>
          <w:szCs w:val="24"/>
          <w:lang w:val="es-ES"/>
        </w:rPr>
        <w:t xml:space="preserve">establecer los procedimientos técnicos y económicos por </w:t>
      </w:r>
      <w:r w:rsidR="005223F7">
        <w:rPr>
          <w:rFonts w:eastAsiaTheme="minorEastAsia"/>
          <w:sz w:val="24"/>
          <w:szCs w:val="24"/>
          <w:lang w:val="es-ES"/>
        </w:rPr>
        <w:t xml:space="preserve"> medio de los cuales</w:t>
      </w:r>
      <w:r w:rsidRPr="00F975D0">
        <w:rPr>
          <w:rFonts w:eastAsiaTheme="minorEastAsia"/>
          <w:sz w:val="24"/>
          <w:szCs w:val="24"/>
          <w:lang w:val="es-ES"/>
        </w:rPr>
        <w:t xml:space="preserve"> </w:t>
      </w:r>
      <w:r w:rsidR="005223F7">
        <w:rPr>
          <w:rFonts w:eastAsiaTheme="minorEastAsia"/>
          <w:sz w:val="24"/>
          <w:szCs w:val="24"/>
          <w:lang w:val="es-ES"/>
        </w:rPr>
        <w:t xml:space="preserve">las </w:t>
      </w:r>
      <w:r w:rsidRPr="00F975D0">
        <w:rPr>
          <w:rFonts w:eastAsiaTheme="minorEastAsia"/>
          <w:sz w:val="24"/>
          <w:szCs w:val="24"/>
          <w:lang w:val="es-ES"/>
        </w:rPr>
        <w:t>personas naturales y jurídicas poseedoras</w:t>
      </w:r>
      <w:r w:rsidR="005223F7">
        <w:rPr>
          <w:rFonts w:eastAsiaTheme="minorEastAsia"/>
          <w:sz w:val="24"/>
          <w:szCs w:val="24"/>
          <w:lang w:val="es-ES"/>
        </w:rPr>
        <w:t xml:space="preserve"> </w:t>
      </w:r>
      <w:r w:rsidRPr="00F975D0">
        <w:rPr>
          <w:rFonts w:eastAsiaTheme="minorEastAsia"/>
          <w:sz w:val="24"/>
          <w:szCs w:val="24"/>
          <w:lang w:val="es-ES"/>
        </w:rPr>
        <w:t>de</w:t>
      </w:r>
      <w:r w:rsidR="005223F7">
        <w:rPr>
          <w:rFonts w:eastAsiaTheme="minorEastAsia"/>
          <w:sz w:val="24"/>
          <w:szCs w:val="24"/>
          <w:lang w:val="es-ES"/>
        </w:rPr>
        <w:t xml:space="preserve"> </w:t>
      </w:r>
      <w:r w:rsidRPr="00F975D0">
        <w:rPr>
          <w:rFonts w:eastAsiaTheme="minorEastAsia"/>
          <w:sz w:val="24"/>
          <w:szCs w:val="24"/>
          <w:lang w:val="es-ES"/>
        </w:rPr>
        <w:t>títulos</w:t>
      </w:r>
      <w:r w:rsidR="005223F7">
        <w:rPr>
          <w:rFonts w:eastAsiaTheme="minorEastAsia"/>
          <w:sz w:val="24"/>
          <w:szCs w:val="24"/>
          <w:lang w:val="es-ES"/>
        </w:rPr>
        <w:t xml:space="preserve"> </w:t>
      </w:r>
      <w:r w:rsidRPr="00F975D0">
        <w:rPr>
          <w:rFonts w:eastAsiaTheme="minorEastAsia"/>
          <w:sz w:val="24"/>
          <w:szCs w:val="24"/>
          <w:lang w:val="es-ES"/>
        </w:rPr>
        <w:t>habilitantes</w:t>
      </w:r>
      <w:r w:rsidR="005223F7">
        <w:rPr>
          <w:rFonts w:eastAsiaTheme="minorEastAsia"/>
          <w:sz w:val="24"/>
          <w:szCs w:val="24"/>
          <w:lang w:val="es-ES"/>
        </w:rPr>
        <w:t xml:space="preserve"> </w:t>
      </w:r>
      <w:r w:rsidRPr="00F975D0">
        <w:rPr>
          <w:rFonts w:eastAsiaTheme="minorEastAsia"/>
          <w:sz w:val="24"/>
          <w:szCs w:val="24"/>
          <w:lang w:val="es-ES"/>
        </w:rPr>
        <w:t>vigentes,</w:t>
      </w:r>
      <w:r w:rsidR="005223F7">
        <w:rPr>
          <w:rFonts w:eastAsiaTheme="minorEastAsia"/>
          <w:sz w:val="24"/>
          <w:szCs w:val="24"/>
          <w:lang w:val="es-ES"/>
        </w:rPr>
        <w:t xml:space="preserve"> </w:t>
      </w:r>
      <w:r w:rsidRPr="00F975D0">
        <w:rPr>
          <w:rFonts w:eastAsiaTheme="minorEastAsia"/>
          <w:sz w:val="24"/>
          <w:szCs w:val="24"/>
          <w:lang w:val="es-ES"/>
        </w:rPr>
        <w:t>concesiones</w:t>
      </w:r>
      <w:r w:rsidR="005223F7">
        <w:rPr>
          <w:rFonts w:eastAsiaTheme="minorEastAsia"/>
          <w:sz w:val="24"/>
          <w:szCs w:val="24"/>
          <w:lang w:val="es-ES"/>
        </w:rPr>
        <w:t xml:space="preserve"> </w:t>
      </w:r>
      <w:r w:rsidRPr="00F975D0">
        <w:rPr>
          <w:rFonts w:eastAsiaTheme="minorEastAsia"/>
          <w:sz w:val="24"/>
          <w:szCs w:val="24"/>
          <w:lang w:val="es-ES"/>
        </w:rPr>
        <w:t>y registros,</w:t>
      </w:r>
      <w:r w:rsidR="005223F7">
        <w:rPr>
          <w:rFonts w:eastAsiaTheme="minorEastAsia"/>
          <w:sz w:val="24"/>
          <w:szCs w:val="24"/>
          <w:lang w:val="es-ES"/>
        </w:rPr>
        <w:t xml:space="preserve"> </w:t>
      </w:r>
      <w:r w:rsidRPr="00F975D0">
        <w:rPr>
          <w:rFonts w:eastAsiaTheme="minorEastAsia"/>
          <w:sz w:val="24"/>
          <w:szCs w:val="24"/>
          <w:lang w:val="es-ES"/>
        </w:rPr>
        <w:t>de los</w:t>
      </w:r>
      <w:r w:rsidR="005223F7">
        <w:rPr>
          <w:rFonts w:eastAsiaTheme="minorEastAsia"/>
          <w:sz w:val="24"/>
          <w:szCs w:val="24"/>
          <w:lang w:val="es-ES"/>
        </w:rPr>
        <w:t xml:space="preserve"> </w:t>
      </w:r>
      <w:r w:rsidRPr="00F975D0">
        <w:rPr>
          <w:rFonts w:eastAsiaTheme="minorEastAsia"/>
          <w:sz w:val="24"/>
          <w:szCs w:val="24"/>
          <w:lang w:val="es-ES"/>
        </w:rPr>
        <w:t>servicios</w:t>
      </w:r>
      <w:r w:rsidR="005223F7">
        <w:rPr>
          <w:rFonts w:eastAsiaTheme="minorEastAsia"/>
          <w:sz w:val="24"/>
          <w:szCs w:val="24"/>
          <w:lang w:val="es-ES"/>
        </w:rPr>
        <w:t xml:space="preserve"> </w:t>
      </w:r>
      <w:r w:rsidRPr="00F975D0">
        <w:rPr>
          <w:rFonts w:eastAsiaTheme="minorEastAsia"/>
          <w:sz w:val="24"/>
          <w:szCs w:val="24"/>
          <w:lang w:val="es-ES"/>
        </w:rPr>
        <w:t xml:space="preserve">de radiodifusión </w:t>
      </w:r>
      <w:r w:rsidR="0061190E">
        <w:rPr>
          <w:rFonts w:eastAsiaTheme="minorEastAsia"/>
          <w:sz w:val="24"/>
          <w:szCs w:val="24"/>
          <w:lang w:val="es-ES"/>
        </w:rPr>
        <w:t>de señal abierta</w:t>
      </w:r>
      <w:r w:rsidRPr="00F975D0">
        <w:rPr>
          <w:rFonts w:eastAsiaTheme="minorEastAsia"/>
          <w:sz w:val="24"/>
          <w:szCs w:val="24"/>
          <w:lang w:val="es-ES"/>
        </w:rPr>
        <w:t>,</w:t>
      </w:r>
      <w:r w:rsidR="005223F7">
        <w:rPr>
          <w:rFonts w:eastAsiaTheme="minorEastAsia"/>
          <w:sz w:val="24"/>
          <w:szCs w:val="24"/>
          <w:lang w:val="es-ES"/>
        </w:rPr>
        <w:t xml:space="preserve"> </w:t>
      </w:r>
      <w:r w:rsidRPr="00F975D0">
        <w:rPr>
          <w:rFonts w:eastAsiaTheme="minorEastAsia"/>
          <w:sz w:val="24"/>
          <w:szCs w:val="24"/>
          <w:lang w:val="es-ES"/>
        </w:rPr>
        <w:t xml:space="preserve">deberán cancelar de manera obligatoria al Estado los valores concernientes a las tarifas </w:t>
      </w:r>
      <w:r w:rsidR="009D5B79">
        <w:rPr>
          <w:rFonts w:eastAsiaTheme="minorEastAsia"/>
          <w:sz w:val="24"/>
          <w:szCs w:val="24"/>
          <w:lang w:val="es-ES"/>
        </w:rPr>
        <w:t xml:space="preserve">mensuales </w:t>
      </w:r>
      <w:r w:rsidR="005223F7">
        <w:rPr>
          <w:rFonts w:eastAsiaTheme="minorEastAsia"/>
          <w:sz w:val="24"/>
          <w:szCs w:val="24"/>
          <w:lang w:val="es-ES"/>
        </w:rPr>
        <w:t xml:space="preserve">y </w:t>
      </w:r>
      <w:r w:rsidR="009D5B79">
        <w:rPr>
          <w:rFonts w:eastAsiaTheme="minorEastAsia"/>
          <w:sz w:val="24"/>
          <w:szCs w:val="24"/>
          <w:lang w:val="es-ES"/>
        </w:rPr>
        <w:t>derechos de concesión</w:t>
      </w:r>
      <w:r w:rsidR="005223F7">
        <w:rPr>
          <w:rFonts w:eastAsiaTheme="minorEastAsia"/>
          <w:sz w:val="24"/>
          <w:szCs w:val="24"/>
          <w:lang w:val="es-ES"/>
        </w:rPr>
        <w:t>.</w:t>
      </w:r>
    </w:p>
    <w:p w:rsidR="00CF648C" w:rsidRPr="00F975D0" w:rsidRDefault="00CF648C" w:rsidP="00CF648C">
      <w:pPr>
        <w:jc w:val="both"/>
        <w:rPr>
          <w:rFonts w:eastAsiaTheme="minorEastAsia"/>
          <w:sz w:val="24"/>
          <w:szCs w:val="24"/>
          <w:lang w:val="es-ES"/>
        </w:rPr>
      </w:pPr>
      <w:r w:rsidRPr="00F975D0">
        <w:rPr>
          <w:rFonts w:eastAsiaTheme="minorEastAsia"/>
          <w:sz w:val="24"/>
          <w:szCs w:val="24"/>
          <w:lang w:val="es-ES"/>
        </w:rPr>
        <w:t>De igual manera</w:t>
      </w:r>
      <w:r>
        <w:rPr>
          <w:rFonts w:eastAsiaTheme="minorEastAsia"/>
          <w:sz w:val="24"/>
          <w:szCs w:val="24"/>
          <w:lang w:val="es-ES"/>
        </w:rPr>
        <w:t>,</w:t>
      </w:r>
      <w:r w:rsidRPr="00F975D0">
        <w:rPr>
          <w:rFonts w:eastAsiaTheme="minorEastAsia"/>
          <w:sz w:val="24"/>
          <w:szCs w:val="24"/>
          <w:lang w:val="es-ES"/>
        </w:rPr>
        <w:t xml:space="preserve"> se tiene por objetivo analizar algunos ser</w:t>
      </w:r>
      <w:r w:rsidR="009D5B79">
        <w:rPr>
          <w:rFonts w:eastAsiaTheme="minorEastAsia"/>
          <w:sz w:val="24"/>
          <w:szCs w:val="24"/>
          <w:lang w:val="es-ES"/>
        </w:rPr>
        <w:t xml:space="preserve">vicios para calcular parámetros </w:t>
      </w:r>
      <w:r w:rsidRPr="00F975D0">
        <w:rPr>
          <w:rFonts w:eastAsiaTheme="minorEastAsia"/>
          <w:sz w:val="24"/>
          <w:szCs w:val="24"/>
          <w:lang w:val="es-ES"/>
        </w:rPr>
        <w:t xml:space="preserve">de ajuste en función de masificar y fomentar la inversión en el sector. </w:t>
      </w:r>
    </w:p>
    <w:p w:rsidR="00CF648C" w:rsidRDefault="00CF648C" w:rsidP="00AB1049">
      <w:pPr>
        <w:pStyle w:val="Prrafodelista"/>
        <w:numPr>
          <w:ilvl w:val="0"/>
          <w:numId w:val="13"/>
        </w:numPr>
        <w:ind w:left="567" w:hanging="567"/>
        <w:jc w:val="both"/>
        <w:rPr>
          <w:rFonts w:eastAsiaTheme="minorEastAsia"/>
          <w:b/>
          <w:sz w:val="28"/>
          <w:szCs w:val="28"/>
        </w:rPr>
      </w:pPr>
      <w:r w:rsidRPr="00CF648C">
        <w:rPr>
          <w:rFonts w:eastAsiaTheme="minorEastAsia"/>
          <w:b/>
          <w:sz w:val="28"/>
          <w:szCs w:val="28"/>
        </w:rPr>
        <w:t xml:space="preserve">INFORME TÉCNICO ECONÓMICO PARA LA ADECUACIÓN, ANALISIS Y PRESENTACIÓN DEL PROYECTO DE </w:t>
      </w:r>
      <w:r w:rsidR="005223F7" w:rsidRPr="005223F7">
        <w:rPr>
          <w:rFonts w:eastAsiaTheme="minorEastAsia"/>
          <w:b/>
          <w:sz w:val="28"/>
          <w:szCs w:val="28"/>
        </w:rPr>
        <w:t>REGLAMENTO DE</w:t>
      </w:r>
      <w:r w:rsidR="009D5B79" w:rsidRPr="009D5B79">
        <w:rPr>
          <w:rFonts w:eastAsiaTheme="minorEastAsia"/>
          <w:b/>
          <w:sz w:val="28"/>
          <w:szCs w:val="28"/>
        </w:rPr>
        <w:t xml:space="preserve"> DERECHOS POR OTORGAMIENTO DE TÍTULOS HABILITANTES Y TARIFAS PARA SERVICIOS DE RADIODIFUSIÓN</w:t>
      </w:r>
      <w:r w:rsidR="007B4863">
        <w:rPr>
          <w:rFonts w:eastAsiaTheme="minorEastAsia"/>
          <w:b/>
          <w:sz w:val="28"/>
          <w:szCs w:val="28"/>
        </w:rPr>
        <w:t xml:space="preserve"> ABIERTA</w:t>
      </w:r>
      <w:r w:rsidR="009D5B79" w:rsidRPr="009D5B79">
        <w:rPr>
          <w:rFonts w:eastAsiaTheme="minorEastAsia"/>
          <w:b/>
          <w:sz w:val="28"/>
          <w:szCs w:val="28"/>
        </w:rPr>
        <w:t>.</w:t>
      </w:r>
    </w:p>
    <w:p w:rsidR="007A1B2D" w:rsidRPr="00C77420" w:rsidRDefault="007A1B2D" w:rsidP="007A1B2D">
      <w:pPr>
        <w:jc w:val="both"/>
        <w:rPr>
          <w:rFonts w:eastAsiaTheme="minorEastAsia"/>
          <w:sz w:val="24"/>
          <w:szCs w:val="24"/>
          <w:lang w:val="es-ES"/>
        </w:rPr>
      </w:pPr>
      <w:r w:rsidRPr="00C77420">
        <w:rPr>
          <w:rFonts w:eastAsiaTheme="minorEastAsia"/>
          <w:sz w:val="24"/>
          <w:szCs w:val="24"/>
          <w:lang w:val="es-ES"/>
        </w:rPr>
        <w:t xml:space="preserve">El presente informe está estructurado con el objetivo de analizar, unificar y aplicar, adecuaciones </w:t>
      </w:r>
      <w:r>
        <w:rPr>
          <w:rFonts w:eastAsiaTheme="minorEastAsia"/>
          <w:sz w:val="24"/>
          <w:szCs w:val="24"/>
          <w:lang w:val="es-ES"/>
        </w:rPr>
        <w:t>al</w:t>
      </w:r>
      <w:r w:rsidRPr="00C77420">
        <w:rPr>
          <w:rFonts w:eastAsiaTheme="minorEastAsia"/>
          <w:sz w:val="24"/>
          <w:szCs w:val="24"/>
          <w:lang w:val="es-ES"/>
        </w:rPr>
        <w:t xml:space="preserve"> </w:t>
      </w:r>
      <w:r w:rsidRPr="007B7D77">
        <w:rPr>
          <w:rFonts w:eastAsiaTheme="minorEastAsia"/>
          <w:sz w:val="24"/>
          <w:szCs w:val="24"/>
          <w:lang w:val="es-ES"/>
        </w:rPr>
        <w:t>Reglamento de tarifas por concesión, autorizació</w:t>
      </w:r>
      <w:r w:rsidR="007B4863">
        <w:rPr>
          <w:rFonts w:eastAsiaTheme="minorEastAsia"/>
          <w:sz w:val="24"/>
          <w:szCs w:val="24"/>
          <w:lang w:val="es-ES"/>
        </w:rPr>
        <w:t>n y utilización de frecuencias</w:t>
      </w:r>
      <w:r w:rsidRPr="007B7D77">
        <w:rPr>
          <w:rFonts w:eastAsiaTheme="minorEastAsia"/>
          <w:sz w:val="24"/>
          <w:szCs w:val="24"/>
          <w:lang w:val="es-ES"/>
        </w:rPr>
        <w:t xml:space="preserve"> de radiodifusión sonora y de televisión</w:t>
      </w:r>
      <w:r w:rsidR="007B4863">
        <w:rPr>
          <w:rFonts w:eastAsiaTheme="minorEastAsia"/>
          <w:sz w:val="24"/>
          <w:szCs w:val="24"/>
          <w:lang w:val="es-ES"/>
        </w:rPr>
        <w:t xml:space="preserve"> abierta</w:t>
      </w:r>
      <w:r w:rsidRPr="007B7D77">
        <w:rPr>
          <w:rFonts w:eastAsiaTheme="minorEastAsia"/>
          <w:sz w:val="24"/>
          <w:szCs w:val="24"/>
          <w:lang w:val="es-ES"/>
        </w:rPr>
        <w:t>,</w:t>
      </w:r>
      <w:r w:rsidRPr="00C77420">
        <w:rPr>
          <w:rFonts w:eastAsiaTheme="minorEastAsia"/>
          <w:sz w:val="24"/>
          <w:szCs w:val="24"/>
          <w:lang w:val="es-ES"/>
        </w:rPr>
        <w:t xml:space="preserve"> en el mismo se definen </w:t>
      </w:r>
      <w:r>
        <w:rPr>
          <w:rFonts w:eastAsiaTheme="minorEastAsia"/>
          <w:sz w:val="24"/>
          <w:szCs w:val="24"/>
          <w:lang w:val="es-ES"/>
        </w:rPr>
        <w:t>2</w:t>
      </w:r>
      <w:r w:rsidRPr="00C77420">
        <w:rPr>
          <w:rFonts w:eastAsiaTheme="minorEastAsia"/>
          <w:sz w:val="24"/>
          <w:szCs w:val="24"/>
          <w:lang w:val="es-ES"/>
        </w:rPr>
        <w:t xml:space="preserve"> (</w:t>
      </w:r>
      <w:r>
        <w:rPr>
          <w:rFonts w:eastAsiaTheme="minorEastAsia"/>
          <w:sz w:val="24"/>
          <w:szCs w:val="24"/>
          <w:lang w:val="es-ES"/>
        </w:rPr>
        <w:t>dos</w:t>
      </w:r>
      <w:r w:rsidRPr="00C77420">
        <w:rPr>
          <w:rFonts w:eastAsiaTheme="minorEastAsia"/>
          <w:sz w:val="24"/>
          <w:szCs w:val="24"/>
          <w:lang w:val="es-ES"/>
        </w:rPr>
        <w:t>) aspectos principales de análisis en función de las tarifas por uso y</w:t>
      </w:r>
      <w:r w:rsidR="008248D6">
        <w:rPr>
          <w:rFonts w:eastAsiaTheme="minorEastAsia"/>
          <w:sz w:val="24"/>
          <w:szCs w:val="24"/>
          <w:lang w:val="es-ES"/>
        </w:rPr>
        <w:t xml:space="preserve"> </w:t>
      </w:r>
      <w:r w:rsidRPr="00C77420">
        <w:rPr>
          <w:rFonts w:eastAsiaTheme="minorEastAsia"/>
          <w:sz w:val="24"/>
          <w:szCs w:val="24"/>
          <w:lang w:val="es-ES"/>
        </w:rPr>
        <w:t>concesión para los siguientes ámbitos:</w:t>
      </w:r>
    </w:p>
    <w:p w:rsidR="007A1B2D" w:rsidRPr="007B7D77" w:rsidRDefault="007A1B2D" w:rsidP="007A1B2D">
      <w:pPr>
        <w:pStyle w:val="Prrafodelista"/>
        <w:numPr>
          <w:ilvl w:val="1"/>
          <w:numId w:val="23"/>
        </w:numPr>
        <w:jc w:val="both"/>
        <w:rPr>
          <w:rFonts w:eastAsiaTheme="minorEastAsia"/>
          <w:sz w:val="24"/>
          <w:szCs w:val="24"/>
          <w:lang w:val="es-ES"/>
        </w:rPr>
      </w:pPr>
      <w:r w:rsidRPr="007B7D77">
        <w:rPr>
          <w:rFonts w:eastAsiaTheme="minorEastAsia"/>
          <w:sz w:val="24"/>
          <w:szCs w:val="24"/>
          <w:lang w:val="es-ES"/>
        </w:rPr>
        <w:t>Servicio de radiodifusión y televisión</w:t>
      </w:r>
      <w:r w:rsidR="007B4863">
        <w:rPr>
          <w:rFonts w:eastAsiaTheme="minorEastAsia"/>
          <w:sz w:val="24"/>
          <w:szCs w:val="24"/>
          <w:lang w:val="es-ES"/>
        </w:rPr>
        <w:t xml:space="preserve"> abierta</w:t>
      </w:r>
      <w:r w:rsidRPr="007B7D77">
        <w:rPr>
          <w:rFonts w:eastAsiaTheme="minorEastAsia"/>
          <w:sz w:val="24"/>
          <w:szCs w:val="24"/>
          <w:lang w:val="es-ES"/>
        </w:rPr>
        <w:t>.</w:t>
      </w:r>
    </w:p>
    <w:p w:rsidR="007A1B2D" w:rsidRPr="007B7D77" w:rsidRDefault="007B4863" w:rsidP="007A1B2D">
      <w:pPr>
        <w:pStyle w:val="Prrafodelista"/>
        <w:numPr>
          <w:ilvl w:val="1"/>
          <w:numId w:val="23"/>
        </w:numPr>
        <w:jc w:val="both"/>
        <w:rPr>
          <w:rFonts w:eastAsiaTheme="minorEastAsia"/>
          <w:sz w:val="24"/>
          <w:szCs w:val="24"/>
          <w:lang w:val="es-ES"/>
        </w:rPr>
      </w:pPr>
      <w:r>
        <w:rPr>
          <w:rFonts w:eastAsiaTheme="minorEastAsia"/>
          <w:sz w:val="24"/>
          <w:szCs w:val="24"/>
          <w:lang w:val="es-ES"/>
        </w:rPr>
        <w:t>Definición</w:t>
      </w:r>
      <w:r w:rsidR="007A1B2D" w:rsidRPr="007B7D77">
        <w:rPr>
          <w:rFonts w:eastAsiaTheme="minorEastAsia"/>
          <w:sz w:val="24"/>
          <w:szCs w:val="24"/>
          <w:lang w:val="es-ES"/>
        </w:rPr>
        <w:t xml:space="preserve"> para parámetros </w:t>
      </w:r>
    </w:p>
    <w:p w:rsidR="007A1B2D" w:rsidRDefault="007A1B2D" w:rsidP="00AB1049">
      <w:pPr>
        <w:pStyle w:val="Prrafodelista"/>
        <w:ind w:left="567"/>
        <w:jc w:val="both"/>
        <w:rPr>
          <w:rFonts w:eastAsiaTheme="minorEastAsia"/>
          <w:b/>
          <w:sz w:val="28"/>
          <w:szCs w:val="28"/>
        </w:rPr>
      </w:pPr>
    </w:p>
    <w:p w:rsidR="007A1B2D" w:rsidRDefault="007A1B2D">
      <w:pPr>
        <w:rPr>
          <w:rFonts w:eastAsiaTheme="minorEastAsia"/>
          <w:b/>
          <w:sz w:val="28"/>
          <w:szCs w:val="28"/>
        </w:rPr>
      </w:pPr>
      <w:r>
        <w:rPr>
          <w:rFonts w:eastAsiaTheme="minorEastAsia"/>
          <w:b/>
          <w:sz w:val="28"/>
          <w:szCs w:val="28"/>
        </w:rPr>
        <w:br w:type="page"/>
      </w:r>
    </w:p>
    <w:p w:rsidR="007A1B2D" w:rsidRDefault="007A1B2D" w:rsidP="00AB1049">
      <w:pPr>
        <w:pStyle w:val="Prrafodelista"/>
        <w:ind w:left="567"/>
        <w:jc w:val="both"/>
        <w:rPr>
          <w:rFonts w:eastAsiaTheme="minorEastAsia"/>
          <w:b/>
          <w:sz w:val="28"/>
          <w:szCs w:val="28"/>
        </w:rPr>
      </w:pPr>
    </w:p>
    <w:p w:rsidR="007A1B2D" w:rsidRDefault="007A1B2D" w:rsidP="00AB1049">
      <w:pPr>
        <w:pStyle w:val="Prrafodelista"/>
        <w:numPr>
          <w:ilvl w:val="1"/>
          <w:numId w:val="13"/>
        </w:numPr>
        <w:jc w:val="both"/>
        <w:rPr>
          <w:rFonts w:eastAsiaTheme="minorEastAsia"/>
          <w:b/>
          <w:sz w:val="28"/>
          <w:szCs w:val="28"/>
        </w:rPr>
      </w:pPr>
      <w:r>
        <w:rPr>
          <w:rFonts w:eastAsiaTheme="minorEastAsia"/>
          <w:b/>
          <w:sz w:val="28"/>
          <w:szCs w:val="28"/>
        </w:rPr>
        <w:t xml:space="preserve"> </w:t>
      </w:r>
      <w:r w:rsidRPr="007A1B2D">
        <w:rPr>
          <w:rFonts w:eastAsiaTheme="minorEastAsia"/>
          <w:b/>
          <w:sz w:val="28"/>
          <w:szCs w:val="28"/>
        </w:rPr>
        <w:t>SERVICIO DE RADIODIFUSIÓN Y TELEVISIÓN</w:t>
      </w:r>
      <w:r w:rsidR="001C5F56">
        <w:rPr>
          <w:rFonts w:eastAsiaTheme="minorEastAsia"/>
          <w:b/>
          <w:sz w:val="28"/>
          <w:szCs w:val="28"/>
        </w:rPr>
        <w:t xml:space="preserve"> ABIERTA</w:t>
      </w:r>
    </w:p>
    <w:p w:rsidR="007A1B2D" w:rsidRPr="00C05CF4" w:rsidRDefault="007A1B2D" w:rsidP="007A1B2D">
      <w:pPr>
        <w:jc w:val="both"/>
        <w:rPr>
          <w:rFonts w:eastAsiaTheme="minorEastAsia"/>
          <w:sz w:val="24"/>
          <w:szCs w:val="24"/>
          <w:lang w:val="es-ES"/>
        </w:rPr>
      </w:pPr>
      <w:r w:rsidRPr="00C05CF4">
        <w:rPr>
          <w:rFonts w:eastAsiaTheme="minorEastAsia"/>
          <w:sz w:val="24"/>
          <w:szCs w:val="24"/>
          <w:lang w:val="es-ES"/>
        </w:rPr>
        <w:t xml:space="preserve">En función del diagrama del negocio y público objetivo del servicio de radiodifusión y televisión </w:t>
      </w:r>
      <w:r w:rsidR="001C5F56">
        <w:rPr>
          <w:rFonts w:eastAsiaTheme="minorEastAsia"/>
          <w:sz w:val="24"/>
          <w:szCs w:val="24"/>
          <w:lang w:val="es-ES"/>
        </w:rPr>
        <w:t xml:space="preserve">abierta </w:t>
      </w:r>
      <w:r w:rsidRPr="00C05CF4">
        <w:rPr>
          <w:rFonts w:eastAsiaTheme="minorEastAsia"/>
          <w:sz w:val="24"/>
          <w:szCs w:val="24"/>
          <w:lang w:val="es-ES"/>
        </w:rPr>
        <w:t>(figura 1), se puede</w:t>
      </w:r>
      <w:r w:rsidR="001C5F56">
        <w:rPr>
          <w:rFonts w:eastAsiaTheme="minorEastAsia"/>
          <w:sz w:val="24"/>
          <w:szCs w:val="24"/>
          <w:lang w:val="es-ES"/>
        </w:rPr>
        <w:t>n</w:t>
      </w:r>
      <w:r w:rsidRPr="00C05CF4">
        <w:rPr>
          <w:rFonts w:eastAsiaTheme="minorEastAsia"/>
          <w:sz w:val="24"/>
          <w:szCs w:val="24"/>
          <w:lang w:val="es-ES"/>
        </w:rPr>
        <w:t xml:space="preserve"> apreciar los factores que influyen para la valoración del uso de frecuencias. </w:t>
      </w:r>
    </w:p>
    <w:p w:rsidR="007A1B2D" w:rsidRPr="00C05CF4" w:rsidRDefault="007A1B2D" w:rsidP="007A1B2D">
      <w:pPr>
        <w:jc w:val="both"/>
        <w:rPr>
          <w:rFonts w:eastAsiaTheme="minorEastAsia"/>
          <w:sz w:val="24"/>
          <w:szCs w:val="24"/>
          <w:lang w:val="es-ES"/>
        </w:rPr>
      </w:pPr>
      <w:r w:rsidRPr="00C05CF4">
        <w:rPr>
          <w:rFonts w:eastAsiaTheme="minorEastAsia"/>
          <w:sz w:val="24"/>
          <w:szCs w:val="24"/>
          <w:lang w:val="es-ES"/>
        </w:rPr>
        <w:t>Dado que el modelo de este tipo de negocio se encuentra en función del tipo de servicio, público objetivo y espacio publicitado</w:t>
      </w:r>
      <w:r w:rsidR="00CC2134">
        <w:rPr>
          <w:rFonts w:eastAsiaTheme="minorEastAsia"/>
          <w:sz w:val="24"/>
          <w:szCs w:val="24"/>
          <w:lang w:val="es-ES"/>
        </w:rPr>
        <w:t>.</w:t>
      </w:r>
      <w:r w:rsidRPr="00C05CF4">
        <w:rPr>
          <w:rFonts w:eastAsiaTheme="minorEastAsia"/>
          <w:sz w:val="24"/>
          <w:szCs w:val="24"/>
          <w:lang w:val="es-ES"/>
        </w:rPr>
        <w:t xml:space="preserve"> </w:t>
      </w:r>
      <w:r w:rsidR="00CC2134">
        <w:rPr>
          <w:rFonts w:eastAsiaTheme="minorEastAsia"/>
          <w:sz w:val="24"/>
          <w:szCs w:val="24"/>
          <w:lang w:val="es-ES"/>
        </w:rPr>
        <w:t>S</w:t>
      </w:r>
      <w:r w:rsidRPr="00C05CF4">
        <w:rPr>
          <w:rFonts w:eastAsiaTheme="minorEastAsia"/>
          <w:sz w:val="24"/>
          <w:szCs w:val="24"/>
          <w:lang w:val="es-ES"/>
        </w:rPr>
        <w:t>e ha considerado la variable de ingreso total como e</w:t>
      </w:r>
      <w:r>
        <w:rPr>
          <w:rFonts w:eastAsiaTheme="minorEastAsia"/>
          <w:sz w:val="24"/>
          <w:szCs w:val="24"/>
          <w:lang w:val="es-ES"/>
        </w:rPr>
        <w:t xml:space="preserve">l componente principal </w:t>
      </w:r>
      <w:r w:rsidR="00CC2134">
        <w:rPr>
          <w:rFonts w:eastAsiaTheme="minorEastAsia"/>
          <w:sz w:val="24"/>
          <w:szCs w:val="24"/>
          <w:lang w:val="es-ES"/>
        </w:rPr>
        <w:t xml:space="preserve">del modelo y </w:t>
      </w:r>
      <w:r>
        <w:rPr>
          <w:rFonts w:eastAsiaTheme="minorEastAsia"/>
          <w:sz w:val="24"/>
          <w:szCs w:val="24"/>
          <w:lang w:val="es-ES"/>
        </w:rPr>
        <w:t xml:space="preserve">así </w:t>
      </w:r>
      <w:r w:rsidR="00CC2134">
        <w:rPr>
          <w:rFonts w:eastAsiaTheme="minorEastAsia"/>
          <w:sz w:val="24"/>
          <w:szCs w:val="24"/>
          <w:lang w:val="es-ES"/>
        </w:rPr>
        <w:t xml:space="preserve">también se tomaron en cuenta </w:t>
      </w:r>
      <w:r w:rsidRPr="00C05CF4">
        <w:rPr>
          <w:rFonts w:eastAsiaTheme="minorEastAsia"/>
          <w:sz w:val="24"/>
          <w:szCs w:val="24"/>
          <w:lang w:val="es-ES"/>
        </w:rPr>
        <w:t>aspectos para fomentar el desarrollo y despliegue de las estaciones para la masificación, universalización y democratización de los servicios de radiodifusión y televisión</w:t>
      </w:r>
      <w:r w:rsidR="00CC2134">
        <w:rPr>
          <w:rFonts w:eastAsiaTheme="minorEastAsia"/>
          <w:sz w:val="24"/>
          <w:szCs w:val="24"/>
          <w:lang w:val="es-ES"/>
        </w:rPr>
        <w:t xml:space="preserve"> abierta</w:t>
      </w:r>
      <w:r w:rsidRPr="00C05CF4">
        <w:rPr>
          <w:rFonts w:eastAsiaTheme="minorEastAsia"/>
          <w:sz w:val="24"/>
          <w:szCs w:val="24"/>
          <w:lang w:val="es-ES"/>
        </w:rPr>
        <w:t>.</w:t>
      </w:r>
    </w:p>
    <w:p w:rsidR="007A1B2D" w:rsidRPr="00C77420" w:rsidRDefault="007A1B2D" w:rsidP="007A1B2D">
      <w:pPr>
        <w:jc w:val="center"/>
        <w:rPr>
          <w:rFonts w:eastAsiaTheme="minorEastAsia"/>
          <w:sz w:val="24"/>
          <w:szCs w:val="24"/>
        </w:rPr>
      </w:pPr>
      <w:r w:rsidRPr="00AB1049">
        <w:rPr>
          <w:noProof/>
          <w:sz w:val="24"/>
          <w:szCs w:val="24"/>
          <w:lang w:eastAsia="es-EC"/>
        </w:rPr>
        <w:drawing>
          <wp:inline distT="0" distB="0" distL="0" distR="0" wp14:anchorId="3D03E7C9" wp14:editId="59DFCD27">
            <wp:extent cx="5846445" cy="4162425"/>
            <wp:effectExtent l="0" t="0" r="190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6445" cy="4162425"/>
                    </a:xfrm>
                    <a:prstGeom prst="rect">
                      <a:avLst/>
                    </a:prstGeom>
                    <a:noFill/>
                  </pic:spPr>
                </pic:pic>
              </a:graphicData>
            </a:graphic>
          </wp:inline>
        </w:drawing>
      </w:r>
    </w:p>
    <w:p w:rsidR="007A1B2D" w:rsidRPr="00C77420" w:rsidRDefault="007A1B2D" w:rsidP="007A1B2D">
      <w:pPr>
        <w:pStyle w:val="Prrafodelista"/>
        <w:ind w:left="360"/>
        <w:jc w:val="center"/>
        <w:rPr>
          <w:rFonts w:eastAsiaTheme="minorEastAsia"/>
          <w:sz w:val="24"/>
          <w:szCs w:val="24"/>
        </w:rPr>
      </w:pPr>
      <w:r w:rsidRPr="00C77420">
        <w:rPr>
          <w:rFonts w:eastAsiaTheme="minorEastAsia"/>
          <w:b/>
          <w:sz w:val="24"/>
          <w:szCs w:val="24"/>
        </w:rPr>
        <w:t xml:space="preserve">Figura </w:t>
      </w:r>
      <w:r>
        <w:rPr>
          <w:rFonts w:eastAsiaTheme="minorEastAsia"/>
          <w:b/>
          <w:sz w:val="24"/>
          <w:szCs w:val="24"/>
        </w:rPr>
        <w:t>1</w:t>
      </w:r>
      <w:r w:rsidRPr="00C77420">
        <w:rPr>
          <w:rFonts w:eastAsiaTheme="minorEastAsia"/>
          <w:b/>
          <w:sz w:val="24"/>
          <w:szCs w:val="24"/>
        </w:rPr>
        <w:t>.</w:t>
      </w:r>
      <w:r w:rsidRPr="00C77420">
        <w:rPr>
          <w:rFonts w:eastAsiaTheme="minorEastAsia"/>
          <w:sz w:val="24"/>
          <w:szCs w:val="24"/>
        </w:rPr>
        <w:t xml:space="preserve"> Diagrama de Valoración del Servicio de Radiodifusión y Televisión</w:t>
      </w:r>
    </w:p>
    <w:p w:rsidR="007A1B2D" w:rsidRDefault="007A1B2D" w:rsidP="00AB1049">
      <w:pPr>
        <w:pStyle w:val="Prrafodelista"/>
        <w:jc w:val="both"/>
        <w:rPr>
          <w:rFonts w:eastAsiaTheme="minorEastAsia"/>
          <w:b/>
          <w:sz w:val="28"/>
          <w:szCs w:val="28"/>
        </w:rPr>
      </w:pPr>
    </w:p>
    <w:p w:rsidR="007A1B2D" w:rsidRDefault="007A1B2D" w:rsidP="00AB1049">
      <w:pPr>
        <w:pStyle w:val="Prrafodelista"/>
        <w:numPr>
          <w:ilvl w:val="2"/>
          <w:numId w:val="13"/>
        </w:numPr>
        <w:rPr>
          <w:rFonts w:eastAsiaTheme="minorEastAsia"/>
          <w:b/>
          <w:sz w:val="28"/>
          <w:szCs w:val="28"/>
        </w:rPr>
      </w:pPr>
      <w:r w:rsidRPr="007A1B2D">
        <w:rPr>
          <w:rFonts w:eastAsiaTheme="minorEastAsia"/>
          <w:b/>
          <w:sz w:val="28"/>
          <w:szCs w:val="28"/>
        </w:rPr>
        <w:t xml:space="preserve"> Propuesta de Tarifas por uso de frecuencias</w:t>
      </w:r>
    </w:p>
    <w:p w:rsidR="006C7E46" w:rsidRPr="00C77420" w:rsidRDefault="00C264AC" w:rsidP="006C7E46">
      <w:pPr>
        <w:ind w:left="1560"/>
        <w:jc w:val="both"/>
        <w:rPr>
          <w:rFonts w:eastAsiaTheme="minorEastAsia"/>
          <w:sz w:val="24"/>
          <w:szCs w:val="24"/>
        </w:rPr>
      </w:pPr>
      <w:r w:rsidRPr="00C77420">
        <w:rPr>
          <w:rFonts w:eastAsiaTheme="minorEastAsia"/>
          <w:sz w:val="24"/>
          <w:szCs w:val="24"/>
        </w:rPr>
        <w:t xml:space="preserve">El modelo construido </w:t>
      </w:r>
      <w:r w:rsidR="00AE1FFE" w:rsidRPr="006C7DB7">
        <w:rPr>
          <w:rFonts w:eastAsiaTheme="minorEastAsia"/>
          <w:sz w:val="24"/>
          <w:szCs w:val="24"/>
        </w:rPr>
        <w:t>por la Dirección de Planificación de las Telecomunicaciones</w:t>
      </w:r>
      <w:r w:rsidR="00AE1FFE" w:rsidRPr="00C77420">
        <w:rPr>
          <w:rFonts w:eastAsiaTheme="minorEastAsia"/>
          <w:sz w:val="24"/>
          <w:szCs w:val="24"/>
        </w:rPr>
        <w:t xml:space="preserve"> </w:t>
      </w:r>
      <w:r w:rsidRPr="00C77420">
        <w:rPr>
          <w:rFonts w:eastAsiaTheme="minorEastAsia"/>
          <w:sz w:val="24"/>
          <w:szCs w:val="24"/>
        </w:rPr>
        <w:t>para realizar el cobro d</w:t>
      </w:r>
      <w:r w:rsidR="009C5B44">
        <w:rPr>
          <w:rFonts w:eastAsiaTheme="minorEastAsia"/>
          <w:sz w:val="24"/>
          <w:szCs w:val="24"/>
        </w:rPr>
        <w:t>e tarifas mensuales de radiodifusión sonora y t</w:t>
      </w:r>
      <w:r w:rsidRPr="00C77420">
        <w:rPr>
          <w:rFonts w:eastAsiaTheme="minorEastAsia"/>
          <w:sz w:val="24"/>
          <w:szCs w:val="24"/>
        </w:rPr>
        <w:t>elevisión</w:t>
      </w:r>
      <w:r w:rsidR="009C5B44">
        <w:rPr>
          <w:rFonts w:eastAsiaTheme="minorEastAsia"/>
          <w:sz w:val="24"/>
          <w:szCs w:val="24"/>
        </w:rPr>
        <w:t xml:space="preserve"> abierta</w:t>
      </w:r>
      <w:r w:rsidRPr="00C77420">
        <w:rPr>
          <w:rFonts w:eastAsiaTheme="minorEastAsia"/>
          <w:sz w:val="24"/>
          <w:szCs w:val="24"/>
        </w:rPr>
        <w:t>, está basado en u</w:t>
      </w:r>
      <w:r w:rsidR="001B3FE0" w:rsidRPr="00C77420">
        <w:rPr>
          <w:rFonts w:eastAsiaTheme="minorEastAsia"/>
          <w:sz w:val="24"/>
          <w:szCs w:val="24"/>
        </w:rPr>
        <w:t>n análisis donde están incluidos</w:t>
      </w:r>
      <w:r w:rsidR="007A1B2D">
        <w:rPr>
          <w:rFonts w:eastAsiaTheme="minorEastAsia"/>
          <w:sz w:val="24"/>
          <w:szCs w:val="24"/>
        </w:rPr>
        <w:t xml:space="preserve">: </w:t>
      </w:r>
      <w:r w:rsidRPr="00C77420">
        <w:rPr>
          <w:rFonts w:eastAsiaTheme="minorEastAsia"/>
          <w:sz w:val="24"/>
          <w:szCs w:val="24"/>
        </w:rPr>
        <w:t>un ponderador de priorización de los servicios de comunicación (Radio y TV), y un valor relacionado con el ingreso de los concesionarios.</w:t>
      </w:r>
    </w:p>
    <w:p w:rsidR="00C264AC" w:rsidRPr="00C77420" w:rsidRDefault="00C264AC" w:rsidP="006C7E46">
      <w:pPr>
        <w:ind w:left="1560"/>
        <w:jc w:val="both"/>
        <w:rPr>
          <w:rFonts w:eastAsiaTheme="minorEastAsia"/>
          <w:sz w:val="24"/>
          <w:szCs w:val="24"/>
        </w:rPr>
      </w:pPr>
      <w:r w:rsidRPr="00C77420">
        <w:rPr>
          <w:rFonts w:eastAsiaTheme="minorEastAsia"/>
          <w:sz w:val="24"/>
          <w:szCs w:val="24"/>
        </w:rPr>
        <w:t xml:space="preserve">De esta forma el modelo lineal planteado es: </w:t>
      </w:r>
    </w:p>
    <w:p w:rsidR="00C264AC" w:rsidRPr="00C77420" w:rsidRDefault="00BA56A3" w:rsidP="006C7E46">
      <w:pPr>
        <w:pStyle w:val="Prrafodelista"/>
        <w:ind w:left="360"/>
        <w:jc w:val="center"/>
        <w:rPr>
          <w:i/>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fps</m:t>
              </m:r>
            </m:e>
            <m:sub>
              <m:r>
                <w:rPr>
                  <w:rFonts w:ascii="Cambria Math" w:hAnsi="Cambria Math"/>
                  <w:sz w:val="24"/>
                  <w:szCs w:val="24"/>
                </w:rPr>
                <m:t>i</m:t>
              </m:r>
            </m:sub>
          </m:sSub>
          <m:r>
            <w:rPr>
              <w:rFonts w:ascii="Cambria Math" w:hAnsi="Cambria Math"/>
              <w:sz w:val="24"/>
              <w:szCs w:val="24"/>
            </w:rPr>
            <m:t>)+k.Y   (Ec. 1)</m:t>
          </m:r>
        </m:oMath>
      </m:oMathPara>
    </w:p>
    <w:p w:rsidR="00C264AC" w:rsidRPr="00C77420" w:rsidRDefault="00E24763" w:rsidP="00AB1049">
      <w:pPr>
        <w:ind w:left="1416"/>
        <w:rPr>
          <w:rFonts w:eastAsiaTheme="minorEastAsia"/>
          <w:sz w:val="24"/>
          <w:szCs w:val="24"/>
        </w:rPr>
      </w:pPr>
      <w:r>
        <w:rPr>
          <w:rFonts w:eastAsiaTheme="minorEastAsia"/>
          <w:sz w:val="24"/>
          <w:szCs w:val="24"/>
        </w:rPr>
        <w:t xml:space="preserve">   </w:t>
      </w:r>
      <w:r w:rsidR="006C7E46" w:rsidRPr="00C77420">
        <w:rPr>
          <w:rFonts w:eastAsiaTheme="minorEastAsia"/>
          <w:sz w:val="24"/>
          <w:szCs w:val="24"/>
        </w:rPr>
        <w:t>Donde</w:t>
      </w:r>
      <w:r w:rsidR="00C264AC" w:rsidRPr="00C77420">
        <w:rPr>
          <w:rFonts w:eastAsiaTheme="minorEastAsia"/>
          <w:sz w:val="24"/>
          <w:szCs w:val="24"/>
        </w:rPr>
        <w:t>:</w:t>
      </w:r>
    </w:p>
    <w:p w:rsidR="008248D6" w:rsidRPr="008248D6" w:rsidRDefault="008248D6" w:rsidP="008248D6">
      <w:pPr>
        <w:pStyle w:val="Prrafodelista"/>
        <w:ind w:left="2160"/>
        <w:jc w:val="both"/>
        <w:rPr>
          <w:rFonts w:eastAsiaTheme="minorEastAsia"/>
          <w:bCs/>
          <w:sz w:val="24"/>
          <w:szCs w:val="24"/>
        </w:rPr>
      </w:pPr>
      <w:r w:rsidRPr="008248D6">
        <w:rPr>
          <w:rFonts w:eastAsiaTheme="minorEastAsia"/>
          <w:bCs/>
          <w:sz w:val="24"/>
          <w:szCs w:val="24"/>
        </w:rPr>
        <w:t>T</w:t>
      </w:r>
      <w:r w:rsidRPr="008A144C">
        <w:rPr>
          <w:rFonts w:eastAsiaTheme="minorEastAsia"/>
          <w:bCs/>
          <w:sz w:val="24"/>
          <w:szCs w:val="24"/>
          <w:vertAlign w:val="subscript"/>
        </w:rPr>
        <w:t>m</w:t>
      </w:r>
      <w:r w:rsidRPr="008248D6">
        <w:rPr>
          <w:rFonts w:eastAsiaTheme="minorEastAsia"/>
          <w:bCs/>
          <w:sz w:val="24"/>
          <w:szCs w:val="24"/>
        </w:rPr>
        <w:t>= Tarifa mensual por uso de frecuencias de los servicios de radiodifusión Sonora y radiodifusión de Televisión.</w:t>
      </w:r>
    </w:p>
    <w:p w:rsidR="008248D6" w:rsidRPr="008248D6" w:rsidRDefault="00BA56A3" w:rsidP="008248D6">
      <w:pPr>
        <w:pStyle w:val="Prrafodelista"/>
        <w:ind w:left="2160"/>
        <w:jc w:val="both"/>
        <w:rPr>
          <w:rFonts w:eastAsiaTheme="minorEastAsia"/>
          <w:bCs/>
          <w:sz w:val="24"/>
          <w:szCs w:val="24"/>
        </w:rPr>
      </w:pPr>
      <m:oMath>
        <m:sSub>
          <m:sSubPr>
            <m:ctrlPr>
              <w:rPr>
                <w:rFonts w:ascii="Cambria Math" w:eastAsiaTheme="minorEastAsia" w:hAnsi="Cambria Math"/>
                <w:bCs/>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i</m:t>
            </m:r>
          </m:sub>
        </m:sSub>
      </m:oMath>
      <w:r w:rsidR="00BA455E">
        <w:rPr>
          <w:rFonts w:eastAsiaTheme="minorEastAsia"/>
          <w:bCs/>
          <w:sz w:val="24"/>
          <w:szCs w:val="24"/>
        </w:rPr>
        <w:t>=</w:t>
      </w:r>
      <w:r w:rsidR="008248D6" w:rsidRPr="008248D6">
        <w:rPr>
          <w:rFonts w:eastAsiaTheme="minorEastAsia"/>
          <w:bCs/>
          <w:sz w:val="24"/>
          <w:szCs w:val="24"/>
        </w:rPr>
        <w:t xml:space="preserve"> Ponderador técnico socio territorial del cantón “i”, (De acuerdo a la </w:t>
      </w:r>
      <w:r w:rsidR="008248D6" w:rsidRPr="002608F2">
        <w:rPr>
          <w:rFonts w:eastAsiaTheme="minorEastAsia"/>
          <w:b/>
          <w:bCs/>
          <w:i/>
          <w:sz w:val="24"/>
          <w:szCs w:val="24"/>
        </w:rPr>
        <w:t>Tabla 1, Anexo 1</w:t>
      </w:r>
      <w:r w:rsidR="008248D6" w:rsidRPr="008248D6">
        <w:rPr>
          <w:rFonts w:eastAsiaTheme="minorEastAsia"/>
          <w:bCs/>
          <w:sz w:val="24"/>
          <w:szCs w:val="24"/>
        </w:rPr>
        <w:t>)</w:t>
      </w:r>
    </w:p>
    <w:p w:rsidR="008248D6" w:rsidRPr="008248D6" w:rsidRDefault="004339BC" w:rsidP="008248D6">
      <w:pPr>
        <w:pStyle w:val="Prrafodelista"/>
        <w:ind w:left="2160"/>
        <w:jc w:val="both"/>
        <w:rPr>
          <w:rFonts w:eastAsiaTheme="minorEastAsia"/>
          <w:bCs/>
          <w:sz w:val="24"/>
          <w:szCs w:val="24"/>
        </w:rPr>
      </w:pPr>
      <w:proofErr w:type="spellStart"/>
      <w:proofErr w:type="gramStart"/>
      <w:r>
        <w:rPr>
          <w:rFonts w:eastAsiaTheme="minorEastAsia"/>
          <w:bCs/>
          <w:sz w:val="24"/>
          <w:szCs w:val="24"/>
        </w:rPr>
        <w:t>fps</w:t>
      </w:r>
      <w:proofErr w:type="spellEnd"/>
      <w:proofErr w:type="gramEnd"/>
      <w:r>
        <w:rPr>
          <w:rFonts w:eastAsiaTheme="minorEastAsia"/>
          <w:bCs/>
          <w:sz w:val="24"/>
          <w:szCs w:val="24"/>
        </w:rPr>
        <w:t>=</w:t>
      </w:r>
      <w:r w:rsidR="008248D6" w:rsidRPr="008248D6">
        <w:rPr>
          <w:rFonts w:eastAsiaTheme="minorEastAsia"/>
          <w:bCs/>
          <w:sz w:val="24"/>
          <w:szCs w:val="24"/>
        </w:rPr>
        <w:t xml:space="preserve"> Factor de población servida en el cantón “i” (dado por servicio y la población del cantón)</w:t>
      </w:r>
    </w:p>
    <w:p w:rsidR="008248D6" w:rsidRPr="008248D6" w:rsidRDefault="008248D6" w:rsidP="008248D6">
      <w:pPr>
        <w:pStyle w:val="Prrafodelista"/>
        <w:ind w:left="2160"/>
        <w:jc w:val="both"/>
        <w:rPr>
          <w:rFonts w:eastAsiaTheme="minorEastAsia"/>
          <w:bCs/>
          <w:sz w:val="24"/>
          <w:szCs w:val="24"/>
        </w:rPr>
      </w:pPr>
      <w:r w:rsidRPr="008248D6">
        <w:rPr>
          <w:rFonts w:eastAsiaTheme="minorEastAsia"/>
          <w:bCs/>
          <w:sz w:val="24"/>
          <w:szCs w:val="24"/>
        </w:rPr>
        <w:t xml:space="preserve">k= Porcentaje </w:t>
      </w:r>
      <w:r w:rsidR="004339BC">
        <w:rPr>
          <w:rFonts w:eastAsiaTheme="minorEastAsia"/>
          <w:bCs/>
          <w:sz w:val="24"/>
          <w:szCs w:val="24"/>
        </w:rPr>
        <w:t>(</w:t>
      </w:r>
      <w:r w:rsidRPr="008248D6">
        <w:rPr>
          <w:rFonts w:eastAsiaTheme="minorEastAsia"/>
          <w:bCs/>
          <w:sz w:val="24"/>
          <w:szCs w:val="24"/>
        </w:rPr>
        <w:t>%</w:t>
      </w:r>
      <w:r w:rsidR="004339BC">
        <w:rPr>
          <w:rFonts w:eastAsiaTheme="minorEastAsia"/>
          <w:bCs/>
          <w:sz w:val="24"/>
          <w:szCs w:val="24"/>
        </w:rPr>
        <w:t>) que representa la u</w:t>
      </w:r>
      <w:r w:rsidR="004339BC" w:rsidRPr="004339BC">
        <w:rPr>
          <w:rFonts w:eastAsiaTheme="minorEastAsia"/>
          <w:bCs/>
          <w:sz w:val="24"/>
          <w:szCs w:val="24"/>
        </w:rPr>
        <w:t>tilidad razonable sobre los ingresos que el Estado estima por concepto de utilización del espectro radioeléctrico</w:t>
      </w:r>
      <w:r w:rsidRPr="008248D6">
        <w:rPr>
          <w:rFonts w:eastAsiaTheme="minorEastAsia"/>
          <w:bCs/>
          <w:sz w:val="24"/>
          <w:szCs w:val="24"/>
        </w:rPr>
        <w:t>.</w:t>
      </w:r>
      <w:r w:rsidR="002608F2">
        <w:rPr>
          <w:rFonts w:eastAsiaTheme="minorEastAsia"/>
          <w:bCs/>
          <w:sz w:val="24"/>
          <w:szCs w:val="24"/>
        </w:rPr>
        <w:t xml:space="preserve"> (</w:t>
      </w:r>
      <w:r w:rsidR="00520532">
        <w:rPr>
          <w:rFonts w:eastAsiaTheme="minorEastAsia"/>
          <w:b/>
          <w:bCs/>
          <w:i/>
          <w:sz w:val="24"/>
          <w:szCs w:val="24"/>
        </w:rPr>
        <w:t>Anexo 2</w:t>
      </w:r>
      <w:r w:rsidR="002608F2">
        <w:rPr>
          <w:rFonts w:eastAsiaTheme="minorEastAsia"/>
          <w:bCs/>
          <w:sz w:val="24"/>
          <w:szCs w:val="24"/>
        </w:rPr>
        <w:t>)</w:t>
      </w:r>
      <w:r w:rsidRPr="008248D6">
        <w:rPr>
          <w:rFonts w:eastAsiaTheme="minorEastAsia"/>
          <w:bCs/>
          <w:sz w:val="24"/>
          <w:szCs w:val="24"/>
        </w:rPr>
        <w:t xml:space="preserve"> </w:t>
      </w:r>
    </w:p>
    <w:p w:rsidR="008248D6" w:rsidRPr="008248D6" w:rsidRDefault="008248D6" w:rsidP="008248D6">
      <w:pPr>
        <w:pStyle w:val="Prrafodelista"/>
        <w:ind w:left="2160"/>
        <w:jc w:val="both"/>
        <w:rPr>
          <w:rFonts w:eastAsiaTheme="minorEastAsia"/>
          <w:bCs/>
          <w:sz w:val="24"/>
          <w:szCs w:val="24"/>
        </w:rPr>
      </w:pPr>
      <w:r w:rsidRPr="008248D6">
        <w:rPr>
          <w:rFonts w:eastAsiaTheme="minorEastAsia"/>
          <w:bCs/>
          <w:sz w:val="24"/>
          <w:szCs w:val="24"/>
        </w:rPr>
        <w:t xml:space="preserve">Y=Ingresos </w:t>
      </w:r>
      <w:r w:rsidR="006E5883">
        <w:rPr>
          <w:rFonts w:eastAsiaTheme="minorEastAsia"/>
          <w:bCs/>
          <w:sz w:val="24"/>
          <w:szCs w:val="24"/>
        </w:rPr>
        <w:t>mensuales</w:t>
      </w:r>
      <w:r w:rsidRPr="008248D6">
        <w:rPr>
          <w:rFonts w:eastAsiaTheme="minorEastAsia"/>
          <w:bCs/>
          <w:sz w:val="24"/>
          <w:szCs w:val="24"/>
        </w:rPr>
        <w:t xml:space="preserve"> correspondientes al servicio. </w:t>
      </w:r>
    </w:p>
    <w:p w:rsidR="008248D6" w:rsidRPr="008248D6" w:rsidRDefault="008248D6" w:rsidP="008248D6">
      <w:pPr>
        <w:pStyle w:val="Prrafodelista"/>
        <w:ind w:left="2160"/>
        <w:jc w:val="both"/>
        <w:rPr>
          <w:rFonts w:eastAsiaTheme="minorEastAsia"/>
          <w:bCs/>
          <w:sz w:val="24"/>
          <w:szCs w:val="24"/>
        </w:rPr>
      </w:pPr>
      <w:r w:rsidRPr="008248D6">
        <w:rPr>
          <w:rFonts w:eastAsiaTheme="minorEastAsia"/>
          <w:bCs/>
          <w:sz w:val="24"/>
          <w:szCs w:val="24"/>
        </w:rPr>
        <w:t>n= Número total de cantones servidos por el sistema en operación.</w:t>
      </w:r>
    </w:p>
    <w:p w:rsidR="008248D6" w:rsidRDefault="008248D6" w:rsidP="008248D6">
      <w:pPr>
        <w:pStyle w:val="Prrafodelista"/>
        <w:ind w:left="2160"/>
        <w:jc w:val="both"/>
        <w:rPr>
          <w:rFonts w:eastAsiaTheme="minorEastAsia"/>
          <w:bCs/>
          <w:sz w:val="24"/>
          <w:szCs w:val="24"/>
        </w:rPr>
      </w:pPr>
      <w:r w:rsidRPr="008248D6">
        <w:rPr>
          <w:rFonts w:eastAsiaTheme="minorEastAsia"/>
          <w:bCs/>
          <w:sz w:val="24"/>
          <w:szCs w:val="24"/>
        </w:rPr>
        <w:t xml:space="preserve">i = Cantón donde exista frecuencias o estaciones concesionadas por el sistema en operación. </w:t>
      </w:r>
    </w:p>
    <w:p w:rsidR="008248D6" w:rsidRDefault="008248D6" w:rsidP="008248D6">
      <w:pPr>
        <w:pStyle w:val="Prrafodelista"/>
        <w:ind w:left="2160"/>
        <w:jc w:val="both"/>
        <w:rPr>
          <w:rFonts w:eastAsiaTheme="minorEastAsia"/>
          <w:bCs/>
          <w:sz w:val="24"/>
          <w:szCs w:val="24"/>
        </w:rPr>
      </w:pPr>
    </w:p>
    <w:p w:rsidR="00C264AC" w:rsidRPr="00C77420" w:rsidRDefault="00EC6319" w:rsidP="00EC6319">
      <w:pPr>
        <w:ind w:left="708"/>
        <w:jc w:val="both"/>
        <w:rPr>
          <w:rFonts w:eastAsiaTheme="minorEastAsia"/>
          <w:sz w:val="24"/>
          <w:szCs w:val="24"/>
        </w:rPr>
      </w:pPr>
      <w:r w:rsidRPr="00C77420">
        <w:rPr>
          <w:rFonts w:eastAsiaTheme="minorEastAsia"/>
          <w:b/>
          <w:sz w:val="24"/>
          <w:szCs w:val="24"/>
        </w:rPr>
        <w:t>C</w:t>
      </w:r>
      <w:r w:rsidR="007A1B2D">
        <w:rPr>
          <w:rFonts w:eastAsiaTheme="minorEastAsia"/>
          <w:b/>
          <w:sz w:val="24"/>
          <w:szCs w:val="24"/>
        </w:rPr>
        <w:t>ál</w:t>
      </w:r>
      <w:r w:rsidRPr="00C77420">
        <w:rPr>
          <w:rFonts w:eastAsiaTheme="minorEastAsia"/>
          <w:b/>
          <w:sz w:val="24"/>
          <w:szCs w:val="24"/>
        </w:rPr>
        <w:t xml:space="preserve">culo de </w:t>
      </w:r>
      <w:proofErr w:type="spellStart"/>
      <w:r w:rsidRPr="00C77420">
        <w:rPr>
          <w:rFonts w:eastAsiaTheme="minorEastAsia"/>
          <w:b/>
          <w:sz w:val="24"/>
          <w:szCs w:val="24"/>
        </w:rPr>
        <w:t>fps</w:t>
      </w:r>
      <w:proofErr w:type="spellEnd"/>
      <w:r w:rsidRPr="00C77420">
        <w:rPr>
          <w:rFonts w:eastAsiaTheme="minorEastAsia"/>
          <w:b/>
          <w:sz w:val="24"/>
          <w:szCs w:val="24"/>
        </w:rPr>
        <w:t xml:space="preserve"> (factor de población servida):</w:t>
      </w:r>
      <w:r w:rsidRPr="00C77420">
        <w:rPr>
          <w:rFonts w:eastAsiaTheme="minorEastAsia"/>
          <w:sz w:val="24"/>
          <w:szCs w:val="24"/>
        </w:rPr>
        <w:t xml:space="preserve"> Es un factor que determina una posible población </w:t>
      </w:r>
      <w:r w:rsidR="00CC6160">
        <w:rPr>
          <w:rFonts w:eastAsiaTheme="minorEastAsia"/>
          <w:sz w:val="24"/>
          <w:szCs w:val="24"/>
        </w:rPr>
        <w:t xml:space="preserve">a ser </w:t>
      </w:r>
      <w:r w:rsidRPr="00C77420">
        <w:rPr>
          <w:rFonts w:eastAsiaTheme="minorEastAsia"/>
          <w:sz w:val="24"/>
          <w:szCs w:val="24"/>
        </w:rPr>
        <w:t xml:space="preserve">cubierta </w:t>
      </w:r>
      <w:r w:rsidR="00CC6160">
        <w:rPr>
          <w:rFonts w:eastAsiaTheme="minorEastAsia"/>
          <w:sz w:val="24"/>
          <w:szCs w:val="24"/>
        </w:rPr>
        <w:t xml:space="preserve">por un medio de transmisión </w:t>
      </w:r>
      <w:r w:rsidRPr="00C77420">
        <w:rPr>
          <w:rFonts w:eastAsiaTheme="minorEastAsia"/>
          <w:sz w:val="24"/>
          <w:szCs w:val="24"/>
        </w:rPr>
        <w:t xml:space="preserve">en función del servicio brindado. </w:t>
      </w:r>
    </w:p>
    <w:p w:rsidR="00CC6160" w:rsidRDefault="00EC6319" w:rsidP="00CC6160">
      <w:pPr>
        <w:ind w:left="708"/>
        <w:jc w:val="both"/>
        <w:rPr>
          <w:rFonts w:eastAsiaTheme="minorEastAsia"/>
          <w:sz w:val="24"/>
          <w:szCs w:val="24"/>
        </w:rPr>
      </w:pPr>
      <w:r w:rsidRPr="00C77420">
        <w:rPr>
          <w:rFonts w:eastAsiaTheme="minorEastAsia"/>
          <w:sz w:val="24"/>
          <w:szCs w:val="24"/>
        </w:rPr>
        <w:lastRenderedPageBreak/>
        <w:t>Es así que dependiendo del servicio es</w:t>
      </w:r>
      <w:r w:rsidR="00CC6160">
        <w:rPr>
          <w:rFonts w:eastAsiaTheme="minorEastAsia"/>
          <w:sz w:val="24"/>
          <w:szCs w:val="24"/>
        </w:rPr>
        <w:t>te</w:t>
      </w:r>
      <w:r w:rsidRPr="00C77420">
        <w:rPr>
          <w:rFonts w:eastAsiaTheme="minorEastAsia"/>
          <w:sz w:val="24"/>
          <w:szCs w:val="24"/>
        </w:rPr>
        <w:t xml:space="preserve"> factor podrá definir el porcentaje de la población total donde se encuentre un sistema de radiodifusión o televisión.</w:t>
      </w:r>
    </w:p>
    <w:p w:rsidR="00EC6319" w:rsidRPr="00C77420" w:rsidRDefault="00EC6319" w:rsidP="00CC6160">
      <w:pPr>
        <w:ind w:left="708"/>
        <w:jc w:val="both"/>
        <w:rPr>
          <w:rFonts w:eastAsiaTheme="minorEastAsia"/>
          <w:sz w:val="24"/>
          <w:szCs w:val="24"/>
        </w:rPr>
      </w:pPr>
      <m:oMathPara>
        <m:oMath>
          <m:r>
            <w:rPr>
              <w:rFonts w:ascii="Cambria Math" w:eastAsiaTheme="minorEastAsia" w:hAnsi="Cambria Math"/>
              <w:sz w:val="24"/>
              <w:szCs w:val="24"/>
            </w:rPr>
            <m:t>fps=</m:t>
          </m:r>
          <m:f>
            <m:fPr>
              <m:ctrlPr>
                <w:rPr>
                  <w:rFonts w:ascii="Cambria Math" w:eastAsiaTheme="minorEastAsia" w:hAnsi="Cambria Math"/>
                  <w:i/>
                  <w:sz w:val="24"/>
                  <w:szCs w:val="24"/>
                </w:rPr>
              </m:ctrlPr>
            </m:fPr>
            <m:num>
              <m:r>
                <w:rPr>
                  <w:rFonts w:ascii="Cambria Math" w:eastAsiaTheme="minorEastAsia" w:hAnsi="Cambria Math"/>
                  <w:sz w:val="24"/>
                  <w:szCs w:val="24"/>
                </w:rPr>
                <m:t>Población Cantón</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servicio</m:t>
                  </m:r>
                </m:sub>
              </m:sSub>
            </m:den>
          </m:f>
          <m:r>
            <w:rPr>
              <w:rFonts w:ascii="Cambria Math" w:eastAsiaTheme="minorEastAsia" w:hAnsi="Cambria Math"/>
              <w:sz w:val="24"/>
              <w:szCs w:val="24"/>
            </w:rPr>
            <m:t xml:space="preserve">    (Ec. 2)</m:t>
          </m:r>
        </m:oMath>
      </m:oMathPara>
    </w:p>
    <w:p w:rsidR="00CC6160" w:rsidRPr="00C77420" w:rsidRDefault="00EC6319" w:rsidP="00AB1049">
      <w:pPr>
        <w:ind w:firstLine="708"/>
        <w:rPr>
          <w:rFonts w:eastAsiaTheme="minorEastAsia"/>
          <w:sz w:val="24"/>
          <w:szCs w:val="24"/>
        </w:rPr>
      </w:pPr>
      <w:r w:rsidRPr="00C77420">
        <w:rPr>
          <w:rFonts w:eastAsiaTheme="minorEastAsia"/>
          <w:sz w:val="24"/>
          <w:szCs w:val="24"/>
        </w:rPr>
        <w:t xml:space="preserve">Donde: </w:t>
      </w:r>
    </w:p>
    <w:p w:rsidR="00EC6319" w:rsidRPr="00C77420" w:rsidRDefault="00F975D0" w:rsidP="00AD4BB9">
      <w:pPr>
        <w:ind w:left="708"/>
        <w:jc w:val="both"/>
        <w:rPr>
          <w:rFonts w:eastAsiaTheme="minorEastAsia"/>
          <w:sz w:val="24"/>
          <w:szCs w:val="24"/>
        </w:rPr>
      </w:pPr>
      <w:r>
        <w:rPr>
          <w:rFonts w:eastAsiaTheme="minorEastAsia"/>
          <w:sz w:val="24"/>
          <w:szCs w:val="24"/>
        </w:rPr>
        <w:sym w:font="Symbol" w:char="F062"/>
      </w:r>
      <w:proofErr w:type="gramStart"/>
      <w:r w:rsidR="00EC6319" w:rsidRPr="00C77420">
        <w:rPr>
          <w:rFonts w:eastAsiaTheme="minorEastAsia"/>
          <w:sz w:val="24"/>
          <w:szCs w:val="24"/>
          <w:vertAlign w:val="subscript"/>
        </w:rPr>
        <w:t>servicio</w:t>
      </w:r>
      <w:proofErr w:type="gramEnd"/>
      <w:r w:rsidR="00EC6319" w:rsidRPr="00C77420">
        <w:rPr>
          <w:rFonts w:eastAsiaTheme="minorEastAsia"/>
          <w:sz w:val="24"/>
          <w:szCs w:val="24"/>
        </w:rPr>
        <w:t xml:space="preserve">= </w:t>
      </w:r>
      <w:r w:rsidR="00B0045E">
        <w:rPr>
          <w:rFonts w:eastAsiaTheme="minorEastAsia"/>
          <w:sz w:val="24"/>
          <w:szCs w:val="24"/>
        </w:rPr>
        <w:t>Factor</w:t>
      </w:r>
      <w:r w:rsidR="00EC6319" w:rsidRPr="00C77420">
        <w:rPr>
          <w:rFonts w:eastAsiaTheme="minorEastAsia"/>
          <w:sz w:val="24"/>
          <w:szCs w:val="24"/>
        </w:rPr>
        <w:t xml:space="preserve"> de servicio (potencias promedio de los </w:t>
      </w:r>
      <w:r w:rsidR="00CC6160">
        <w:rPr>
          <w:rFonts w:eastAsiaTheme="minorEastAsia"/>
          <w:sz w:val="24"/>
          <w:szCs w:val="24"/>
        </w:rPr>
        <w:t>t</w:t>
      </w:r>
      <w:r w:rsidR="00EC6319" w:rsidRPr="00C77420">
        <w:rPr>
          <w:rFonts w:eastAsiaTheme="minorEastAsia"/>
          <w:sz w:val="24"/>
          <w:szCs w:val="24"/>
        </w:rPr>
        <w:t>ransmisores</w:t>
      </w:r>
      <w:r w:rsidR="00CC6160">
        <w:rPr>
          <w:rFonts w:eastAsiaTheme="minorEastAsia"/>
          <w:sz w:val="24"/>
          <w:szCs w:val="24"/>
        </w:rPr>
        <w:t xml:space="preserve"> de cada servicio</w:t>
      </w:r>
      <w:r w:rsidR="00EC6319" w:rsidRPr="00C77420">
        <w:rPr>
          <w:rFonts w:eastAsiaTheme="minorEastAsia"/>
          <w:sz w:val="24"/>
          <w:szCs w:val="24"/>
        </w:rPr>
        <w:t>)</w:t>
      </w:r>
    </w:p>
    <w:p w:rsidR="00AE1FFE" w:rsidRDefault="00AE1FFE" w:rsidP="008534E8">
      <w:pPr>
        <w:ind w:left="708"/>
        <w:jc w:val="both"/>
        <w:rPr>
          <w:rFonts w:eastAsiaTheme="minorEastAsia"/>
          <w:sz w:val="24"/>
          <w:szCs w:val="24"/>
        </w:rPr>
      </w:pPr>
      <w:r w:rsidRPr="00C77420">
        <w:rPr>
          <w:rFonts w:eastAsiaTheme="minorEastAsia"/>
          <w:sz w:val="24"/>
          <w:szCs w:val="24"/>
        </w:rPr>
        <w:t>Este índice es un factor inversamente proporcional a la población objetivo dependiendo del tipo de servicio (visto desde la potencia típica del servicio). Es decir, que a mayor potencia del trans</w:t>
      </w:r>
      <w:r>
        <w:rPr>
          <w:rFonts w:eastAsiaTheme="minorEastAsia"/>
          <w:sz w:val="24"/>
          <w:szCs w:val="24"/>
        </w:rPr>
        <w:t xml:space="preserve">misor se tiene un mayor alcance, sin embargo los niveles de intensidad de campo eléctrico </w:t>
      </w:r>
      <w:r w:rsidRPr="00C77420">
        <w:rPr>
          <w:rFonts w:eastAsiaTheme="minorEastAsia"/>
          <w:sz w:val="24"/>
          <w:szCs w:val="24"/>
        </w:rPr>
        <w:t>disminuye</w:t>
      </w:r>
      <w:r>
        <w:rPr>
          <w:rFonts w:eastAsiaTheme="minorEastAsia"/>
          <w:sz w:val="24"/>
          <w:szCs w:val="24"/>
        </w:rPr>
        <w:t>n mientras se va alejando del sitio de transmisión</w:t>
      </w:r>
      <w:r w:rsidRPr="00C77420">
        <w:rPr>
          <w:rFonts w:eastAsiaTheme="minorEastAsia"/>
          <w:sz w:val="24"/>
          <w:szCs w:val="24"/>
        </w:rPr>
        <w:t xml:space="preserve">, hecho por el cual se tiene una población objetivo </w:t>
      </w:r>
      <w:r>
        <w:rPr>
          <w:rFonts w:eastAsiaTheme="minorEastAsia"/>
          <w:sz w:val="24"/>
          <w:szCs w:val="24"/>
        </w:rPr>
        <w:t>variable dependiendo del servicio de radiodifusión.</w:t>
      </w:r>
    </w:p>
    <w:p w:rsidR="008534E8" w:rsidRPr="00C77420" w:rsidRDefault="008534E8" w:rsidP="008534E8">
      <w:pPr>
        <w:ind w:firstLine="708"/>
        <w:jc w:val="both"/>
        <w:rPr>
          <w:rFonts w:eastAsiaTheme="minorEastAsia"/>
          <w:sz w:val="24"/>
          <w:szCs w:val="24"/>
        </w:rPr>
      </w:pPr>
      <w:r w:rsidRPr="00C77420">
        <w:rPr>
          <w:rFonts w:eastAsiaTheme="minorEastAsia"/>
          <w:sz w:val="24"/>
          <w:szCs w:val="24"/>
        </w:rPr>
        <w:t>El cuadro 1, muestra los valores calculados para este índice.</w:t>
      </w:r>
    </w:p>
    <w:tbl>
      <w:tblPr>
        <w:tblStyle w:val="Sombreadomedio1-nfasis1"/>
        <w:tblW w:w="0" w:type="auto"/>
        <w:jc w:val="center"/>
        <w:tblLook w:val="04A0" w:firstRow="1" w:lastRow="0" w:firstColumn="1" w:lastColumn="0" w:noHBand="0" w:noVBand="1"/>
      </w:tblPr>
      <w:tblGrid>
        <w:gridCol w:w="900"/>
        <w:gridCol w:w="1224"/>
        <w:gridCol w:w="1192"/>
        <w:gridCol w:w="1247"/>
      </w:tblGrid>
      <w:tr w:rsidR="00EC6319" w:rsidRPr="00C77420" w:rsidTr="008534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tcPr>
          <w:p w:rsidR="00EC6319" w:rsidRPr="00C77420" w:rsidRDefault="00EC6319" w:rsidP="00EC6319">
            <w:pPr>
              <w:pStyle w:val="Prrafodelista"/>
              <w:ind w:left="0"/>
              <w:jc w:val="center"/>
              <w:rPr>
                <w:rFonts w:eastAsiaTheme="minorEastAsia"/>
                <w:sz w:val="24"/>
                <w:szCs w:val="24"/>
              </w:rPr>
            </w:pPr>
            <w:r w:rsidRPr="00C77420">
              <w:rPr>
                <w:rFonts w:eastAsiaTheme="minorEastAsia"/>
                <w:sz w:val="24"/>
                <w:szCs w:val="24"/>
              </w:rPr>
              <w:t>Factor</w:t>
            </w:r>
          </w:p>
        </w:tc>
        <w:tc>
          <w:tcPr>
            <w:tcW w:w="1224" w:type="dxa"/>
          </w:tcPr>
          <w:p w:rsidR="00EC6319" w:rsidRPr="00C77420" w:rsidRDefault="00EC6319" w:rsidP="00EC6319">
            <w:pPr>
              <w:pStyle w:val="Prrafodelista"/>
              <w:ind w:left="0"/>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C77420">
              <w:rPr>
                <w:rFonts w:eastAsiaTheme="minorEastAsia"/>
                <w:sz w:val="24"/>
                <w:szCs w:val="24"/>
              </w:rPr>
              <w:t>Radio AM</w:t>
            </w:r>
          </w:p>
        </w:tc>
        <w:tc>
          <w:tcPr>
            <w:tcW w:w="1192" w:type="dxa"/>
          </w:tcPr>
          <w:p w:rsidR="00EC6319" w:rsidRPr="00C77420" w:rsidRDefault="00EC6319" w:rsidP="00EC6319">
            <w:pPr>
              <w:pStyle w:val="Prrafodelista"/>
              <w:ind w:left="0"/>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C77420">
              <w:rPr>
                <w:rFonts w:eastAsiaTheme="minorEastAsia"/>
                <w:sz w:val="24"/>
                <w:szCs w:val="24"/>
              </w:rPr>
              <w:t>Radio FM</w:t>
            </w:r>
          </w:p>
        </w:tc>
        <w:tc>
          <w:tcPr>
            <w:tcW w:w="1247" w:type="dxa"/>
          </w:tcPr>
          <w:p w:rsidR="00EC6319" w:rsidRPr="00C77420" w:rsidRDefault="00EC6319" w:rsidP="00EC6319">
            <w:pPr>
              <w:pStyle w:val="Prrafodelista"/>
              <w:ind w:left="0"/>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C77420">
              <w:rPr>
                <w:rFonts w:eastAsiaTheme="minorEastAsia"/>
                <w:sz w:val="24"/>
                <w:szCs w:val="24"/>
              </w:rPr>
              <w:t>Televisión</w:t>
            </w:r>
          </w:p>
        </w:tc>
      </w:tr>
      <w:tr w:rsidR="00EC6319" w:rsidRPr="00C77420" w:rsidTr="008534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tcPr>
          <w:p w:rsidR="00EC6319" w:rsidRPr="00C77420" w:rsidRDefault="00EC6319" w:rsidP="00EC6319">
            <w:pPr>
              <w:pStyle w:val="Prrafodelista"/>
              <w:ind w:left="0"/>
              <w:jc w:val="center"/>
              <w:rPr>
                <w:rFonts w:eastAsiaTheme="minorEastAsia"/>
                <w:sz w:val="24"/>
                <w:szCs w:val="24"/>
              </w:rPr>
            </w:pPr>
            <w:r w:rsidRPr="00C77420">
              <w:rPr>
                <w:rFonts w:eastAsiaTheme="minorEastAsia"/>
                <w:sz w:val="24"/>
                <w:szCs w:val="24"/>
              </w:rPr>
              <w:t>β</w:t>
            </w:r>
          </w:p>
        </w:tc>
        <w:tc>
          <w:tcPr>
            <w:tcW w:w="1224" w:type="dxa"/>
          </w:tcPr>
          <w:p w:rsidR="00EC6319" w:rsidRPr="00C77420" w:rsidRDefault="00EC6319" w:rsidP="00EC6319">
            <w:pPr>
              <w:pStyle w:val="Prrafodelista"/>
              <w:ind w:left="0"/>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C77420">
              <w:rPr>
                <w:rFonts w:eastAsiaTheme="minorEastAsia"/>
                <w:sz w:val="24"/>
                <w:szCs w:val="24"/>
              </w:rPr>
              <w:t>6.233</w:t>
            </w:r>
          </w:p>
        </w:tc>
        <w:tc>
          <w:tcPr>
            <w:tcW w:w="1192" w:type="dxa"/>
          </w:tcPr>
          <w:p w:rsidR="00EC6319" w:rsidRPr="00C77420" w:rsidRDefault="00EC6319" w:rsidP="00EC6319">
            <w:pPr>
              <w:pStyle w:val="Prrafodelista"/>
              <w:ind w:left="0"/>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C77420">
              <w:rPr>
                <w:rFonts w:eastAsiaTheme="minorEastAsia"/>
                <w:sz w:val="24"/>
                <w:szCs w:val="24"/>
              </w:rPr>
              <w:t>1.407</w:t>
            </w:r>
          </w:p>
        </w:tc>
        <w:tc>
          <w:tcPr>
            <w:tcW w:w="1247" w:type="dxa"/>
          </w:tcPr>
          <w:p w:rsidR="00EC6319" w:rsidRPr="00C77420" w:rsidRDefault="00EC6319" w:rsidP="00EC6319">
            <w:pPr>
              <w:pStyle w:val="Prrafodelista"/>
              <w:ind w:left="0"/>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C77420">
              <w:rPr>
                <w:rFonts w:eastAsiaTheme="minorEastAsia"/>
                <w:sz w:val="24"/>
                <w:szCs w:val="24"/>
              </w:rPr>
              <w:t>1.407</w:t>
            </w:r>
          </w:p>
        </w:tc>
      </w:tr>
    </w:tbl>
    <w:p w:rsidR="00EC6319" w:rsidRPr="00C77420" w:rsidRDefault="008534E8" w:rsidP="008534E8">
      <w:pPr>
        <w:jc w:val="center"/>
        <w:rPr>
          <w:rFonts w:eastAsiaTheme="minorEastAsia"/>
          <w:sz w:val="24"/>
          <w:szCs w:val="24"/>
          <w:vertAlign w:val="subscript"/>
        </w:rPr>
      </w:pPr>
      <w:r w:rsidRPr="00C77420">
        <w:rPr>
          <w:rFonts w:eastAsiaTheme="minorEastAsia"/>
          <w:b/>
          <w:sz w:val="24"/>
          <w:szCs w:val="24"/>
        </w:rPr>
        <w:t>Cuadro 1.</w:t>
      </w:r>
      <w:r w:rsidRPr="00C77420">
        <w:rPr>
          <w:rFonts w:eastAsiaTheme="minorEastAsia"/>
          <w:sz w:val="24"/>
          <w:szCs w:val="24"/>
        </w:rPr>
        <w:t xml:space="preserve"> Tabla de valores para el Índice β</w:t>
      </w:r>
      <w:r w:rsidRPr="00C77420">
        <w:rPr>
          <w:rFonts w:eastAsiaTheme="minorEastAsia"/>
          <w:sz w:val="24"/>
          <w:szCs w:val="24"/>
          <w:vertAlign w:val="subscript"/>
        </w:rPr>
        <w:t>servicio</w:t>
      </w:r>
    </w:p>
    <w:p w:rsidR="00EC6319" w:rsidRPr="00C77420" w:rsidRDefault="00EC6319" w:rsidP="009801AE">
      <w:pPr>
        <w:rPr>
          <w:rFonts w:eastAsiaTheme="minorEastAsia"/>
          <w:sz w:val="24"/>
          <w:szCs w:val="24"/>
        </w:rPr>
      </w:pPr>
    </w:p>
    <w:p w:rsidR="008A144C" w:rsidRDefault="009801AE" w:rsidP="008921BA">
      <w:pPr>
        <w:ind w:left="708"/>
        <w:jc w:val="both"/>
        <w:rPr>
          <w:rFonts w:eastAsiaTheme="minorEastAsia"/>
          <w:sz w:val="24"/>
          <w:szCs w:val="24"/>
        </w:rPr>
      </w:pPr>
      <w:r w:rsidRPr="00C77420">
        <w:rPr>
          <w:rFonts w:eastAsiaTheme="minorEastAsia"/>
          <w:b/>
          <w:sz w:val="24"/>
          <w:szCs w:val="24"/>
        </w:rPr>
        <w:t xml:space="preserve">Ingresos (Y): </w:t>
      </w:r>
      <w:r w:rsidR="008A144C">
        <w:rPr>
          <w:rFonts w:eastAsiaTheme="minorEastAsia"/>
          <w:sz w:val="24"/>
          <w:szCs w:val="24"/>
        </w:rPr>
        <w:t>Son</w:t>
      </w:r>
      <w:r w:rsidRPr="00C77420">
        <w:rPr>
          <w:rFonts w:eastAsiaTheme="minorEastAsia"/>
          <w:sz w:val="24"/>
          <w:szCs w:val="24"/>
        </w:rPr>
        <w:t xml:space="preserve"> los ingresos</w:t>
      </w:r>
      <w:r w:rsidR="008A144C">
        <w:rPr>
          <w:rFonts w:eastAsiaTheme="minorEastAsia"/>
          <w:sz w:val="24"/>
          <w:szCs w:val="24"/>
        </w:rPr>
        <w:t xml:space="preserve"> </w:t>
      </w:r>
      <w:r w:rsidR="004E517A">
        <w:rPr>
          <w:rFonts w:eastAsiaTheme="minorEastAsia"/>
          <w:sz w:val="24"/>
          <w:szCs w:val="24"/>
        </w:rPr>
        <w:t>mensuales</w:t>
      </w:r>
      <w:r w:rsidRPr="00C77420">
        <w:rPr>
          <w:rFonts w:eastAsiaTheme="minorEastAsia"/>
          <w:sz w:val="24"/>
          <w:szCs w:val="24"/>
        </w:rPr>
        <w:t xml:space="preserve"> </w:t>
      </w:r>
      <w:r w:rsidR="008A144C">
        <w:rPr>
          <w:rFonts w:eastAsiaTheme="minorEastAsia"/>
          <w:sz w:val="24"/>
          <w:szCs w:val="24"/>
        </w:rPr>
        <w:t>relacionados con la operación d</w:t>
      </w:r>
      <w:r w:rsidRPr="00C77420">
        <w:rPr>
          <w:rFonts w:eastAsiaTheme="minorEastAsia"/>
          <w:sz w:val="24"/>
          <w:szCs w:val="24"/>
        </w:rPr>
        <w:t>el sistema</w:t>
      </w:r>
      <w:r w:rsidR="008A144C">
        <w:rPr>
          <w:rFonts w:eastAsiaTheme="minorEastAsia"/>
          <w:sz w:val="24"/>
          <w:szCs w:val="24"/>
        </w:rPr>
        <w:t>.</w:t>
      </w:r>
    </w:p>
    <w:p w:rsidR="00CC6160" w:rsidRPr="008A144C" w:rsidRDefault="008A144C" w:rsidP="008A144C">
      <w:pPr>
        <w:ind w:left="708"/>
        <w:jc w:val="both"/>
        <w:rPr>
          <w:rFonts w:eastAsiaTheme="minorEastAsia"/>
          <w:b/>
          <w:sz w:val="24"/>
          <w:szCs w:val="24"/>
        </w:rPr>
      </w:pPr>
      <w:r w:rsidRPr="008A144C">
        <w:rPr>
          <w:rFonts w:eastAsiaTheme="minorEastAsia"/>
          <w:b/>
          <w:sz w:val="24"/>
          <w:szCs w:val="24"/>
        </w:rPr>
        <w:t>Constante (k):</w:t>
      </w:r>
      <w:r>
        <w:rPr>
          <w:rFonts w:eastAsiaTheme="minorEastAsia"/>
          <w:b/>
          <w:sz w:val="24"/>
          <w:szCs w:val="24"/>
        </w:rPr>
        <w:t xml:space="preserve"> </w:t>
      </w:r>
      <w:r w:rsidRPr="008A144C">
        <w:rPr>
          <w:rFonts w:eastAsiaTheme="minorEastAsia"/>
          <w:sz w:val="24"/>
          <w:szCs w:val="24"/>
        </w:rPr>
        <w:t>E</w:t>
      </w:r>
      <w:r>
        <w:rPr>
          <w:rFonts w:eastAsiaTheme="minorEastAsia"/>
          <w:sz w:val="24"/>
          <w:szCs w:val="24"/>
        </w:rPr>
        <w:t>stará determinada</w:t>
      </w:r>
      <w:r w:rsidR="009801AE" w:rsidRPr="00C77420">
        <w:rPr>
          <w:rFonts w:eastAsiaTheme="minorEastAsia"/>
          <w:sz w:val="24"/>
          <w:szCs w:val="24"/>
        </w:rPr>
        <w:t xml:space="preserve"> por el </w:t>
      </w:r>
      <w:r w:rsidR="004E517A">
        <w:rPr>
          <w:rFonts w:eastAsiaTheme="minorEastAsia"/>
          <w:sz w:val="24"/>
          <w:szCs w:val="24"/>
        </w:rPr>
        <w:t>porcentaje de</w:t>
      </w:r>
      <w:r w:rsidR="004E517A" w:rsidRPr="004E517A">
        <w:t xml:space="preserve"> </w:t>
      </w:r>
      <w:r w:rsidR="004E517A">
        <w:t>u</w:t>
      </w:r>
      <w:r w:rsidR="004E517A" w:rsidRPr="004E517A">
        <w:rPr>
          <w:rFonts w:eastAsiaTheme="minorEastAsia"/>
          <w:sz w:val="24"/>
          <w:szCs w:val="24"/>
        </w:rPr>
        <w:t xml:space="preserve">tilidad razonable sobre los ingresos </w:t>
      </w:r>
      <w:r w:rsidR="004E517A">
        <w:rPr>
          <w:rFonts w:eastAsiaTheme="minorEastAsia"/>
          <w:sz w:val="24"/>
          <w:szCs w:val="24"/>
        </w:rPr>
        <w:t xml:space="preserve">mensuales </w:t>
      </w:r>
      <w:r w:rsidR="004E517A" w:rsidRPr="004E517A">
        <w:rPr>
          <w:rFonts w:eastAsiaTheme="minorEastAsia"/>
          <w:sz w:val="24"/>
          <w:szCs w:val="24"/>
        </w:rPr>
        <w:t xml:space="preserve">que el Estado estima </w:t>
      </w:r>
      <w:r w:rsidR="004E517A">
        <w:rPr>
          <w:rFonts w:eastAsiaTheme="minorEastAsia"/>
          <w:sz w:val="24"/>
          <w:szCs w:val="24"/>
        </w:rPr>
        <w:t xml:space="preserve">recibir </w:t>
      </w:r>
      <w:r w:rsidR="004E517A" w:rsidRPr="004E517A">
        <w:rPr>
          <w:rFonts w:eastAsiaTheme="minorEastAsia"/>
          <w:sz w:val="24"/>
          <w:szCs w:val="24"/>
        </w:rPr>
        <w:t>por concepto de utilización del espectro radioeléctrico</w:t>
      </w:r>
      <w:r w:rsidR="009801AE" w:rsidRPr="00C77420">
        <w:rPr>
          <w:rFonts w:eastAsiaTheme="minorEastAsia"/>
          <w:sz w:val="24"/>
          <w:szCs w:val="24"/>
        </w:rPr>
        <w:t xml:space="preserve">. </w:t>
      </w:r>
    </w:p>
    <w:p w:rsidR="009C0811" w:rsidRPr="00C77420" w:rsidRDefault="004E517A" w:rsidP="008921BA">
      <w:pPr>
        <w:ind w:left="708"/>
        <w:jc w:val="both"/>
        <w:rPr>
          <w:rFonts w:eastAsiaTheme="minorEastAsia"/>
          <w:sz w:val="24"/>
          <w:szCs w:val="24"/>
        </w:rPr>
      </w:pPr>
      <w:r>
        <w:rPr>
          <w:rFonts w:eastAsiaTheme="minorEastAsia"/>
          <w:sz w:val="24"/>
          <w:szCs w:val="24"/>
        </w:rPr>
        <w:t>Es</w:t>
      </w:r>
      <w:r w:rsidR="002A4D39" w:rsidRPr="00C77420">
        <w:rPr>
          <w:rFonts w:eastAsiaTheme="minorEastAsia"/>
          <w:sz w:val="24"/>
          <w:szCs w:val="24"/>
        </w:rPr>
        <w:t xml:space="preserve"> importante </w:t>
      </w:r>
      <w:r>
        <w:rPr>
          <w:rFonts w:eastAsiaTheme="minorEastAsia"/>
          <w:sz w:val="24"/>
          <w:szCs w:val="24"/>
        </w:rPr>
        <w:t xml:space="preserve">mostrar en la figura 2, una muestra de </w:t>
      </w:r>
      <w:r w:rsidR="002A4D39" w:rsidRPr="00C77420">
        <w:rPr>
          <w:rFonts w:eastAsiaTheme="minorEastAsia"/>
          <w:sz w:val="24"/>
          <w:szCs w:val="24"/>
        </w:rPr>
        <w:t xml:space="preserve">concesionarios de radio y TV en </w:t>
      </w:r>
      <w:r w:rsidR="00164344" w:rsidRPr="00C77420">
        <w:rPr>
          <w:rFonts w:eastAsiaTheme="minorEastAsia"/>
          <w:sz w:val="24"/>
          <w:szCs w:val="24"/>
        </w:rPr>
        <w:t>función</w:t>
      </w:r>
      <w:r w:rsidR="005223F7">
        <w:rPr>
          <w:rFonts w:eastAsiaTheme="minorEastAsia"/>
          <w:sz w:val="24"/>
          <w:szCs w:val="24"/>
        </w:rPr>
        <w:t xml:space="preserve"> </w:t>
      </w:r>
      <w:r w:rsidR="002A4D39" w:rsidRPr="00C77420">
        <w:rPr>
          <w:rFonts w:eastAsiaTheme="minorEastAsia"/>
          <w:sz w:val="24"/>
          <w:szCs w:val="24"/>
        </w:rPr>
        <w:t xml:space="preserve">de la tarifa </w:t>
      </w:r>
      <w:r>
        <w:rPr>
          <w:rFonts w:eastAsiaTheme="minorEastAsia"/>
          <w:sz w:val="24"/>
          <w:szCs w:val="24"/>
        </w:rPr>
        <w:t xml:space="preserve">actual </w:t>
      </w:r>
      <w:r w:rsidR="002A4D39" w:rsidRPr="00C77420">
        <w:rPr>
          <w:rFonts w:eastAsiaTheme="minorEastAsia"/>
          <w:sz w:val="24"/>
          <w:szCs w:val="24"/>
        </w:rPr>
        <w:t>reca</w:t>
      </w:r>
      <w:r>
        <w:rPr>
          <w:rFonts w:eastAsiaTheme="minorEastAsia"/>
          <w:sz w:val="24"/>
          <w:szCs w:val="24"/>
        </w:rPr>
        <w:t>udada por el uso de frecuencias</w:t>
      </w:r>
      <w:r w:rsidR="007454E5">
        <w:rPr>
          <w:rFonts w:eastAsiaTheme="minorEastAsia"/>
          <w:sz w:val="24"/>
          <w:szCs w:val="24"/>
        </w:rPr>
        <w:t>, e</w:t>
      </w:r>
      <w:r w:rsidR="002A4D39" w:rsidRPr="00C77420">
        <w:rPr>
          <w:rFonts w:eastAsiaTheme="minorEastAsia"/>
          <w:sz w:val="24"/>
          <w:szCs w:val="24"/>
        </w:rPr>
        <w:t xml:space="preserve">n </w:t>
      </w:r>
      <w:r>
        <w:rPr>
          <w:rFonts w:eastAsiaTheme="minorEastAsia"/>
          <w:sz w:val="24"/>
          <w:szCs w:val="24"/>
        </w:rPr>
        <w:t>la cual</w:t>
      </w:r>
      <w:r w:rsidR="002A4D39" w:rsidRPr="00C77420">
        <w:rPr>
          <w:rFonts w:eastAsiaTheme="minorEastAsia"/>
          <w:sz w:val="24"/>
          <w:szCs w:val="24"/>
        </w:rPr>
        <w:t xml:space="preserve"> se puede apreciar que </w:t>
      </w:r>
      <w:r>
        <w:rPr>
          <w:rFonts w:eastAsiaTheme="minorEastAsia"/>
          <w:sz w:val="24"/>
          <w:szCs w:val="24"/>
        </w:rPr>
        <w:t>para</w:t>
      </w:r>
      <w:r w:rsidR="00D54CB9" w:rsidRPr="00C77420">
        <w:rPr>
          <w:rFonts w:eastAsiaTheme="minorEastAsia"/>
          <w:sz w:val="24"/>
          <w:szCs w:val="24"/>
        </w:rPr>
        <w:t xml:space="preserve"> 8</w:t>
      </w:r>
      <w:r w:rsidR="00290484">
        <w:rPr>
          <w:rFonts w:eastAsiaTheme="minorEastAsia"/>
          <w:sz w:val="24"/>
          <w:szCs w:val="24"/>
        </w:rPr>
        <w:t>4</w:t>
      </w:r>
      <w:r w:rsidR="00D54CB9" w:rsidRPr="00C77420">
        <w:rPr>
          <w:rFonts w:eastAsiaTheme="minorEastAsia"/>
          <w:sz w:val="24"/>
          <w:szCs w:val="24"/>
        </w:rPr>
        <w:t xml:space="preserve"> concesionarios con ingresos diferenciados (por rangos)</w:t>
      </w:r>
      <w:r w:rsidR="00304CF5" w:rsidRPr="00C77420">
        <w:rPr>
          <w:rFonts w:eastAsiaTheme="minorEastAsia"/>
          <w:sz w:val="24"/>
          <w:szCs w:val="24"/>
        </w:rPr>
        <w:t>, la tarifa</w:t>
      </w:r>
      <w:r>
        <w:rPr>
          <w:rFonts w:eastAsiaTheme="minorEastAsia"/>
          <w:sz w:val="24"/>
          <w:szCs w:val="24"/>
        </w:rPr>
        <w:t xml:space="preserve"> actual que cancelan los concesionarios </w:t>
      </w:r>
      <w:r w:rsidR="00304CF5" w:rsidRPr="00C77420">
        <w:rPr>
          <w:rFonts w:eastAsiaTheme="minorEastAsia"/>
          <w:sz w:val="24"/>
          <w:szCs w:val="24"/>
        </w:rPr>
        <w:t>por uso de frecuencias</w:t>
      </w:r>
      <w:r w:rsidR="005223F7">
        <w:rPr>
          <w:rFonts w:eastAsiaTheme="minorEastAsia"/>
          <w:sz w:val="24"/>
          <w:szCs w:val="24"/>
        </w:rPr>
        <w:t xml:space="preserve"> </w:t>
      </w:r>
      <w:r w:rsidR="00B969F1" w:rsidRPr="00C77420">
        <w:rPr>
          <w:rFonts w:eastAsiaTheme="minorEastAsia"/>
          <w:sz w:val="24"/>
          <w:szCs w:val="24"/>
        </w:rPr>
        <w:t>tiene</w:t>
      </w:r>
      <w:r w:rsidR="00304CF5" w:rsidRPr="00C77420">
        <w:rPr>
          <w:rFonts w:eastAsiaTheme="minorEastAsia"/>
          <w:sz w:val="24"/>
          <w:szCs w:val="24"/>
        </w:rPr>
        <w:t xml:space="preserve"> similar</w:t>
      </w:r>
      <w:r>
        <w:rPr>
          <w:rFonts w:eastAsiaTheme="minorEastAsia"/>
          <w:sz w:val="24"/>
          <w:szCs w:val="24"/>
        </w:rPr>
        <w:t xml:space="preserve">es valores, tanto para permisionarios con ingresos bajos, como para </w:t>
      </w:r>
      <w:r w:rsidR="00304CF5" w:rsidRPr="00C77420">
        <w:rPr>
          <w:rFonts w:eastAsiaTheme="minorEastAsia"/>
          <w:sz w:val="24"/>
          <w:szCs w:val="24"/>
        </w:rPr>
        <w:t xml:space="preserve">los concesionarios que </w:t>
      </w:r>
      <w:r w:rsidR="00AE1FFE" w:rsidRPr="00C77420">
        <w:rPr>
          <w:rFonts w:eastAsiaTheme="minorEastAsia"/>
          <w:sz w:val="24"/>
          <w:szCs w:val="24"/>
        </w:rPr>
        <w:t xml:space="preserve">perciben </w:t>
      </w:r>
      <w:r w:rsidR="00304CF5" w:rsidRPr="00C77420">
        <w:rPr>
          <w:rFonts w:eastAsiaTheme="minorEastAsia"/>
          <w:sz w:val="24"/>
          <w:szCs w:val="24"/>
        </w:rPr>
        <w:t>mayores ingresos.</w:t>
      </w:r>
    </w:p>
    <w:p w:rsidR="00290484" w:rsidRDefault="00290484" w:rsidP="00290484">
      <w:pPr>
        <w:jc w:val="center"/>
        <w:rPr>
          <w:rFonts w:eastAsiaTheme="minorEastAsia"/>
          <w:sz w:val="24"/>
          <w:szCs w:val="24"/>
        </w:rPr>
      </w:pPr>
      <w:r>
        <w:rPr>
          <w:rFonts w:eastAsiaTheme="minorEastAsia"/>
          <w:noProof/>
          <w:sz w:val="24"/>
          <w:szCs w:val="24"/>
          <w:lang w:eastAsia="es-EC"/>
        </w:rPr>
        <w:lastRenderedPageBreak/>
        <w:drawing>
          <wp:inline distT="0" distB="0" distL="0" distR="0" wp14:anchorId="61597370">
            <wp:extent cx="5924550" cy="371331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3804" r="8632"/>
                    <a:stretch/>
                  </pic:blipFill>
                  <pic:spPr bwMode="auto">
                    <a:xfrm>
                      <a:off x="0" y="0"/>
                      <a:ext cx="5931518" cy="3717686"/>
                    </a:xfrm>
                    <a:prstGeom prst="rect">
                      <a:avLst/>
                    </a:prstGeom>
                    <a:noFill/>
                    <a:ln>
                      <a:noFill/>
                    </a:ln>
                    <a:extLst>
                      <a:ext uri="{53640926-AAD7-44D8-BBD7-CCE9431645EC}">
                        <a14:shadowObscured xmlns:a14="http://schemas.microsoft.com/office/drawing/2010/main"/>
                      </a:ext>
                    </a:extLst>
                  </pic:spPr>
                </pic:pic>
              </a:graphicData>
            </a:graphic>
          </wp:inline>
        </w:drawing>
      </w:r>
    </w:p>
    <w:p w:rsidR="00290484" w:rsidRPr="00C77420" w:rsidRDefault="00290484" w:rsidP="00290484">
      <w:pPr>
        <w:ind w:left="708"/>
        <w:jc w:val="center"/>
        <w:rPr>
          <w:rFonts w:eastAsiaTheme="minorEastAsia"/>
          <w:sz w:val="24"/>
          <w:szCs w:val="24"/>
        </w:rPr>
      </w:pPr>
      <w:r w:rsidRPr="00C77420">
        <w:rPr>
          <w:rFonts w:eastAsiaTheme="minorEastAsia"/>
          <w:b/>
          <w:sz w:val="24"/>
          <w:szCs w:val="24"/>
        </w:rPr>
        <w:t xml:space="preserve">Figura </w:t>
      </w:r>
      <w:r>
        <w:rPr>
          <w:rFonts w:eastAsiaTheme="minorEastAsia"/>
          <w:b/>
          <w:sz w:val="24"/>
          <w:szCs w:val="24"/>
        </w:rPr>
        <w:t>2</w:t>
      </w:r>
      <w:r w:rsidRPr="00C77420">
        <w:rPr>
          <w:rFonts w:eastAsiaTheme="minorEastAsia"/>
          <w:b/>
          <w:sz w:val="24"/>
          <w:szCs w:val="24"/>
        </w:rPr>
        <w:t>.</w:t>
      </w:r>
      <w:r w:rsidRPr="00C77420">
        <w:rPr>
          <w:rFonts w:eastAsiaTheme="minorEastAsia"/>
          <w:sz w:val="24"/>
          <w:szCs w:val="24"/>
        </w:rPr>
        <w:t xml:space="preserve"> Respuesta de Tarifa actual vs. </w:t>
      </w:r>
      <w:r>
        <w:rPr>
          <w:rFonts w:eastAsiaTheme="minorEastAsia"/>
          <w:sz w:val="24"/>
          <w:szCs w:val="24"/>
        </w:rPr>
        <w:t>Ingresos de los concesionarios</w:t>
      </w:r>
    </w:p>
    <w:p w:rsidR="00290484" w:rsidRDefault="00290484" w:rsidP="00290484">
      <w:pPr>
        <w:jc w:val="both"/>
        <w:rPr>
          <w:rFonts w:eastAsiaTheme="minorEastAsia"/>
          <w:sz w:val="24"/>
          <w:szCs w:val="24"/>
        </w:rPr>
      </w:pPr>
      <w:r>
        <w:rPr>
          <w:rFonts w:eastAsiaTheme="minorEastAsia"/>
          <w:sz w:val="24"/>
          <w:szCs w:val="24"/>
        </w:rPr>
        <w:t>De este universo de 84 concesionarios de radiodifusión sonora y televisión abierta, se tiene aproximadamente el 80% del manejo de ingresos de todo el sector. Además se puede observar que la tarifa actual que cancelan los permisionarios (línea amarilla) es casi similar para todos los niveles de ingresos.</w:t>
      </w:r>
    </w:p>
    <w:p w:rsidR="00290484" w:rsidRDefault="00290484" w:rsidP="00290484">
      <w:pPr>
        <w:jc w:val="both"/>
        <w:rPr>
          <w:rFonts w:eastAsiaTheme="minorEastAsia"/>
          <w:sz w:val="24"/>
          <w:szCs w:val="24"/>
        </w:rPr>
      </w:pPr>
      <w:r>
        <w:rPr>
          <w:rFonts w:eastAsiaTheme="minorEastAsia"/>
          <w:sz w:val="24"/>
          <w:szCs w:val="24"/>
        </w:rPr>
        <w:t>En este gráfico se puede explicar que existen 26 concesionarios (extremo izquierdo) con los ingresos más bajos del sector (entre 1 a 200 mil dólares), sumando los ingresos de estos concesionarios se tiene un total de 1,7 Millones de dólares. De igual manera comparando estos valores con los 3 concesionarios que más ingresos reportan (extremo derecho) se tiene una aproximado de 171 Millones de dólares, lo cual significa que son 100 veces mayores a los ingresos de los concesionarios más pequeños.</w:t>
      </w:r>
    </w:p>
    <w:p w:rsidR="00290484" w:rsidRDefault="00290484" w:rsidP="00290484">
      <w:pPr>
        <w:jc w:val="both"/>
        <w:rPr>
          <w:rFonts w:eastAsiaTheme="minorEastAsia"/>
          <w:sz w:val="24"/>
          <w:szCs w:val="24"/>
        </w:rPr>
      </w:pPr>
      <w:r>
        <w:rPr>
          <w:rFonts w:eastAsiaTheme="minorEastAsia"/>
          <w:sz w:val="24"/>
          <w:szCs w:val="24"/>
        </w:rPr>
        <w:t xml:space="preserve">En este sentido el </w:t>
      </w:r>
      <w:r w:rsidRPr="00290484">
        <w:rPr>
          <w:rFonts w:eastAsiaTheme="minorEastAsia"/>
          <w:sz w:val="24"/>
          <w:szCs w:val="24"/>
        </w:rPr>
        <w:t xml:space="preserve">73,8%  </w:t>
      </w:r>
      <w:r>
        <w:rPr>
          <w:rFonts w:eastAsiaTheme="minorEastAsia"/>
          <w:sz w:val="24"/>
          <w:szCs w:val="24"/>
        </w:rPr>
        <w:t xml:space="preserve">de los concesionarios tienen ingresos </w:t>
      </w:r>
      <w:r w:rsidRPr="00290484">
        <w:rPr>
          <w:rFonts w:eastAsiaTheme="minorEastAsia"/>
          <w:sz w:val="24"/>
          <w:szCs w:val="24"/>
        </w:rPr>
        <w:t>menor</w:t>
      </w:r>
      <w:r>
        <w:rPr>
          <w:rFonts w:eastAsiaTheme="minorEastAsia"/>
          <w:sz w:val="24"/>
          <w:szCs w:val="24"/>
        </w:rPr>
        <w:t>es</w:t>
      </w:r>
      <w:r w:rsidRPr="00290484">
        <w:rPr>
          <w:rFonts w:eastAsiaTheme="minorEastAsia"/>
          <w:sz w:val="24"/>
          <w:szCs w:val="24"/>
        </w:rPr>
        <w:t xml:space="preserve"> a 1</w:t>
      </w:r>
      <w:r>
        <w:rPr>
          <w:rFonts w:eastAsiaTheme="minorEastAsia"/>
          <w:sz w:val="24"/>
          <w:szCs w:val="24"/>
        </w:rPr>
        <w:t xml:space="preserve"> </w:t>
      </w:r>
      <w:r w:rsidRPr="00290484">
        <w:rPr>
          <w:rFonts w:eastAsiaTheme="minorEastAsia"/>
          <w:sz w:val="24"/>
          <w:szCs w:val="24"/>
        </w:rPr>
        <w:t>M</w:t>
      </w:r>
      <w:r>
        <w:rPr>
          <w:rFonts w:eastAsiaTheme="minorEastAsia"/>
          <w:sz w:val="24"/>
          <w:szCs w:val="24"/>
        </w:rPr>
        <w:t xml:space="preserve">illón;  </w:t>
      </w:r>
      <w:r w:rsidRPr="00290484">
        <w:rPr>
          <w:rFonts w:eastAsiaTheme="minorEastAsia"/>
          <w:sz w:val="24"/>
          <w:szCs w:val="24"/>
        </w:rPr>
        <w:t>16</w:t>
      </w:r>
      <w:r>
        <w:rPr>
          <w:rFonts w:eastAsiaTheme="minorEastAsia"/>
          <w:sz w:val="24"/>
          <w:szCs w:val="24"/>
        </w:rPr>
        <w:t>,</w:t>
      </w:r>
      <w:r w:rsidRPr="00290484">
        <w:rPr>
          <w:rFonts w:eastAsiaTheme="minorEastAsia"/>
          <w:sz w:val="24"/>
          <w:szCs w:val="24"/>
        </w:rPr>
        <w:t xml:space="preserve">7%  </w:t>
      </w:r>
      <w:r>
        <w:rPr>
          <w:rFonts w:eastAsiaTheme="minorEastAsia"/>
          <w:sz w:val="24"/>
          <w:szCs w:val="24"/>
        </w:rPr>
        <w:t xml:space="preserve">de los concesionarios tienen ingresos </w:t>
      </w:r>
      <w:r w:rsidRPr="00290484">
        <w:rPr>
          <w:rFonts w:eastAsiaTheme="minorEastAsia"/>
          <w:sz w:val="24"/>
          <w:szCs w:val="24"/>
        </w:rPr>
        <w:t>entre 1M</w:t>
      </w:r>
      <w:r>
        <w:rPr>
          <w:rFonts w:eastAsiaTheme="minorEastAsia"/>
          <w:sz w:val="24"/>
          <w:szCs w:val="24"/>
        </w:rPr>
        <w:t xml:space="preserve">illón y </w:t>
      </w:r>
      <w:r w:rsidRPr="00290484">
        <w:rPr>
          <w:rFonts w:eastAsiaTheme="minorEastAsia"/>
          <w:sz w:val="24"/>
          <w:szCs w:val="24"/>
        </w:rPr>
        <w:t>5M</w:t>
      </w:r>
      <w:r>
        <w:rPr>
          <w:rFonts w:eastAsiaTheme="minorEastAsia"/>
          <w:sz w:val="24"/>
          <w:szCs w:val="24"/>
        </w:rPr>
        <w:t xml:space="preserve">illones; y apenas el </w:t>
      </w:r>
      <w:r w:rsidRPr="00290484">
        <w:rPr>
          <w:rFonts w:eastAsiaTheme="minorEastAsia"/>
          <w:sz w:val="24"/>
          <w:szCs w:val="24"/>
        </w:rPr>
        <w:t xml:space="preserve">9,5% </w:t>
      </w:r>
      <w:r>
        <w:rPr>
          <w:rFonts w:eastAsiaTheme="minorEastAsia"/>
          <w:sz w:val="24"/>
          <w:szCs w:val="24"/>
        </w:rPr>
        <w:t>de los concesionarios tiene ingresos</w:t>
      </w:r>
      <w:r w:rsidRPr="00290484">
        <w:rPr>
          <w:rFonts w:eastAsiaTheme="minorEastAsia"/>
          <w:sz w:val="24"/>
          <w:szCs w:val="24"/>
        </w:rPr>
        <w:t xml:space="preserve">  entre 5M</w:t>
      </w:r>
      <w:r>
        <w:rPr>
          <w:rFonts w:eastAsiaTheme="minorEastAsia"/>
          <w:sz w:val="24"/>
          <w:szCs w:val="24"/>
        </w:rPr>
        <w:t xml:space="preserve">illones y </w:t>
      </w:r>
      <w:r w:rsidRPr="00290484">
        <w:rPr>
          <w:rFonts w:eastAsiaTheme="minorEastAsia"/>
          <w:sz w:val="24"/>
          <w:szCs w:val="24"/>
        </w:rPr>
        <w:t>100M</w:t>
      </w:r>
      <w:r>
        <w:rPr>
          <w:rFonts w:eastAsiaTheme="minorEastAsia"/>
          <w:sz w:val="24"/>
          <w:szCs w:val="24"/>
        </w:rPr>
        <w:t>illones de dólares.</w:t>
      </w:r>
    </w:p>
    <w:p w:rsidR="00290484" w:rsidRDefault="00290484" w:rsidP="00290484">
      <w:pPr>
        <w:jc w:val="both"/>
        <w:rPr>
          <w:rFonts w:eastAsiaTheme="minorEastAsia"/>
          <w:sz w:val="24"/>
          <w:szCs w:val="24"/>
        </w:rPr>
      </w:pPr>
    </w:p>
    <w:p w:rsidR="00304CF5" w:rsidRDefault="00304CF5" w:rsidP="00290484">
      <w:pPr>
        <w:jc w:val="both"/>
        <w:rPr>
          <w:rFonts w:eastAsiaTheme="minorEastAsia"/>
          <w:sz w:val="24"/>
          <w:szCs w:val="24"/>
        </w:rPr>
      </w:pPr>
      <w:r w:rsidRPr="00C77420">
        <w:rPr>
          <w:rFonts w:eastAsiaTheme="minorEastAsia"/>
          <w:sz w:val="24"/>
          <w:szCs w:val="24"/>
        </w:rPr>
        <w:t>En este sentido el método de cálculo propuesto intenta redistribuir las tarifas por uso de frecuencias en función de los ingresos. Asimismo, se toma en cuenta parámetros técnicos y de priorización que permitirá</w:t>
      </w:r>
      <w:r w:rsidR="001143EA">
        <w:rPr>
          <w:rFonts w:eastAsiaTheme="minorEastAsia"/>
          <w:sz w:val="24"/>
          <w:szCs w:val="24"/>
        </w:rPr>
        <w:t>n</w:t>
      </w:r>
      <w:r w:rsidRPr="00C77420">
        <w:rPr>
          <w:rFonts w:eastAsiaTheme="minorEastAsia"/>
          <w:sz w:val="24"/>
          <w:szCs w:val="24"/>
        </w:rPr>
        <w:t xml:space="preserve"> a los concesionarios entrantes y comunitarios tener una tarifa diferenciada hasta que puedan reportar los ingresos totales dentro de su primer año de operación (únicamente privados).</w:t>
      </w:r>
    </w:p>
    <w:p w:rsidR="000D2BC8" w:rsidRPr="00C77420" w:rsidRDefault="000D2BC8" w:rsidP="00290484">
      <w:pPr>
        <w:jc w:val="both"/>
        <w:rPr>
          <w:rFonts w:eastAsiaTheme="minorEastAsia"/>
          <w:sz w:val="24"/>
          <w:szCs w:val="24"/>
        </w:rPr>
      </w:pPr>
      <w:r>
        <w:rPr>
          <w:rFonts w:eastAsiaTheme="minorEastAsia"/>
          <w:sz w:val="24"/>
          <w:szCs w:val="24"/>
        </w:rPr>
        <w:t xml:space="preserve">La figura 3, muestra la tarifa actual en relación a la tarifa propuesta, </w:t>
      </w:r>
      <w:r w:rsidR="003A383B">
        <w:rPr>
          <w:rFonts w:eastAsiaTheme="minorEastAsia"/>
          <w:sz w:val="24"/>
          <w:szCs w:val="24"/>
        </w:rPr>
        <w:t xml:space="preserve">aquí se </w:t>
      </w:r>
      <w:r w:rsidR="008A22FA">
        <w:rPr>
          <w:rFonts w:eastAsiaTheme="minorEastAsia"/>
          <w:sz w:val="24"/>
          <w:szCs w:val="24"/>
        </w:rPr>
        <w:t>observa</w:t>
      </w:r>
      <w:r w:rsidR="003A383B">
        <w:rPr>
          <w:rFonts w:eastAsiaTheme="minorEastAsia"/>
          <w:sz w:val="24"/>
          <w:szCs w:val="24"/>
        </w:rPr>
        <w:t xml:space="preserve"> que el modelo propuesto </w:t>
      </w:r>
      <w:r w:rsidR="008A22FA">
        <w:rPr>
          <w:rFonts w:eastAsiaTheme="minorEastAsia"/>
          <w:sz w:val="24"/>
          <w:szCs w:val="24"/>
        </w:rPr>
        <w:t xml:space="preserve">presenta </w:t>
      </w:r>
      <w:r>
        <w:rPr>
          <w:rFonts w:eastAsiaTheme="minorEastAsia"/>
          <w:sz w:val="24"/>
          <w:szCs w:val="24"/>
        </w:rPr>
        <w:t xml:space="preserve">una tarifa equitativa que beneficiará al 80% de todos los concesionarios de radiodifusión y televisión abierta; es decir que aproximadamente este 80% de concesionarios disminuirá o mantendrá la tarifa que </w:t>
      </w:r>
      <w:r w:rsidR="008A22FA">
        <w:rPr>
          <w:rFonts w:eastAsiaTheme="minorEastAsia"/>
          <w:sz w:val="24"/>
          <w:szCs w:val="24"/>
        </w:rPr>
        <w:t>c</w:t>
      </w:r>
      <w:r>
        <w:rPr>
          <w:rFonts w:eastAsiaTheme="minorEastAsia"/>
          <w:sz w:val="24"/>
          <w:szCs w:val="24"/>
        </w:rPr>
        <w:t>ancelar</w:t>
      </w:r>
      <w:r w:rsidR="008A22FA">
        <w:rPr>
          <w:rFonts w:eastAsiaTheme="minorEastAsia"/>
          <w:sz w:val="24"/>
          <w:szCs w:val="24"/>
        </w:rPr>
        <w:t>á</w:t>
      </w:r>
      <w:r>
        <w:rPr>
          <w:rFonts w:eastAsiaTheme="minorEastAsia"/>
          <w:sz w:val="24"/>
          <w:szCs w:val="24"/>
        </w:rPr>
        <w:t xml:space="preserve"> por el uso de frecuencias.</w:t>
      </w:r>
    </w:p>
    <w:p w:rsidR="00FB3E7B" w:rsidRDefault="00FB3E7B" w:rsidP="00A03722">
      <w:pPr>
        <w:jc w:val="center"/>
        <w:rPr>
          <w:rFonts w:eastAsiaTheme="minorEastAsia"/>
          <w:sz w:val="24"/>
          <w:szCs w:val="24"/>
        </w:rPr>
      </w:pPr>
      <w:r>
        <w:rPr>
          <w:rFonts w:eastAsiaTheme="minorEastAsia"/>
          <w:noProof/>
          <w:sz w:val="24"/>
          <w:szCs w:val="24"/>
          <w:lang w:eastAsia="es-EC"/>
        </w:rPr>
        <w:drawing>
          <wp:inline distT="0" distB="0" distL="0" distR="0" wp14:anchorId="3728D0D1">
            <wp:extent cx="5614670" cy="34569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3456940"/>
                    </a:xfrm>
                    <a:prstGeom prst="rect">
                      <a:avLst/>
                    </a:prstGeom>
                    <a:noFill/>
                  </pic:spPr>
                </pic:pic>
              </a:graphicData>
            </a:graphic>
          </wp:inline>
        </w:drawing>
      </w:r>
    </w:p>
    <w:p w:rsidR="009C0811" w:rsidRPr="00C77420" w:rsidRDefault="009C0811" w:rsidP="009C0811">
      <w:pPr>
        <w:ind w:left="708"/>
        <w:jc w:val="center"/>
        <w:rPr>
          <w:rFonts w:eastAsiaTheme="minorEastAsia"/>
          <w:sz w:val="24"/>
          <w:szCs w:val="24"/>
        </w:rPr>
      </w:pPr>
      <w:r w:rsidRPr="00C77420">
        <w:rPr>
          <w:rFonts w:eastAsiaTheme="minorEastAsia"/>
          <w:b/>
          <w:sz w:val="24"/>
          <w:szCs w:val="24"/>
        </w:rPr>
        <w:t xml:space="preserve">Figura </w:t>
      </w:r>
      <w:r w:rsidR="000D2BC8">
        <w:rPr>
          <w:rFonts w:eastAsiaTheme="minorEastAsia"/>
          <w:b/>
          <w:sz w:val="24"/>
          <w:szCs w:val="24"/>
        </w:rPr>
        <w:t>3</w:t>
      </w:r>
      <w:r w:rsidRPr="00C77420">
        <w:rPr>
          <w:rFonts w:eastAsiaTheme="minorEastAsia"/>
          <w:b/>
          <w:sz w:val="24"/>
          <w:szCs w:val="24"/>
        </w:rPr>
        <w:t>.</w:t>
      </w:r>
      <w:r w:rsidRPr="00C77420">
        <w:rPr>
          <w:rFonts w:eastAsiaTheme="minorEastAsia"/>
          <w:sz w:val="24"/>
          <w:szCs w:val="24"/>
        </w:rPr>
        <w:t xml:space="preserve"> Respuesta de Tarifa actual vs. Tarifa propuesta</w:t>
      </w:r>
    </w:p>
    <w:p w:rsidR="003C7830" w:rsidRDefault="003C7830" w:rsidP="00AE1FFE">
      <w:pPr>
        <w:ind w:left="708"/>
        <w:jc w:val="both"/>
        <w:rPr>
          <w:rFonts w:eastAsiaTheme="minorEastAsia"/>
          <w:sz w:val="24"/>
          <w:szCs w:val="24"/>
        </w:rPr>
      </w:pPr>
    </w:p>
    <w:p w:rsidR="003C7830" w:rsidRDefault="003C7830" w:rsidP="00AE1FFE">
      <w:pPr>
        <w:ind w:left="708"/>
        <w:jc w:val="both"/>
        <w:rPr>
          <w:rFonts w:eastAsiaTheme="minorEastAsia"/>
          <w:sz w:val="24"/>
          <w:szCs w:val="24"/>
        </w:rPr>
      </w:pPr>
    </w:p>
    <w:p w:rsidR="003C7830" w:rsidRDefault="003C7830" w:rsidP="00AE1FFE">
      <w:pPr>
        <w:ind w:left="708"/>
        <w:jc w:val="both"/>
        <w:rPr>
          <w:rFonts w:eastAsiaTheme="minorEastAsia"/>
          <w:sz w:val="24"/>
          <w:szCs w:val="24"/>
        </w:rPr>
      </w:pPr>
      <w:r>
        <w:rPr>
          <w:rFonts w:eastAsiaTheme="minorEastAsia"/>
          <w:sz w:val="24"/>
          <w:szCs w:val="24"/>
        </w:rPr>
        <w:lastRenderedPageBreak/>
        <w:t>Para los concesionarios comunitarios la aplicación de la formula, no se tomará en cuenta el componente de los ingresos debido a que su actividad es sin fines de lucro.</w:t>
      </w:r>
    </w:p>
    <w:p w:rsidR="00AE1FFE" w:rsidRDefault="00AE1FFE" w:rsidP="00AE1FFE">
      <w:pPr>
        <w:ind w:left="708"/>
        <w:jc w:val="both"/>
        <w:rPr>
          <w:rFonts w:eastAsiaTheme="minorEastAsia"/>
          <w:sz w:val="24"/>
          <w:szCs w:val="24"/>
        </w:rPr>
      </w:pPr>
      <w:r w:rsidRPr="00C02964">
        <w:rPr>
          <w:rFonts w:eastAsiaTheme="minorEastAsia"/>
          <w:sz w:val="24"/>
          <w:szCs w:val="24"/>
        </w:rPr>
        <w:t>Las autorizaciones temporales de radiodifusión deberán pagar el valor correspondiente a la facturación mensual multiplicado por el tiempo que dure la autorización.</w:t>
      </w:r>
      <w:r>
        <w:rPr>
          <w:rFonts w:eastAsiaTheme="minorEastAsia"/>
          <w:sz w:val="24"/>
          <w:szCs w:val="24"/>
        </w:rPr>
        <w:t xml:space="preserve"> </w:t>
      </w:r>
    </w:p>
    <w:p w:rsidR="004B502E" w:rsidRPr="00AB1049" w:rsidRDefault="004B502E" w:rsidP="00710845">
      <w:pPr>
        <w:pStyle w:val="Prrafodelista"/>
        <w:numPr>
          <w:ilvl w:val="2"/>
          <w:numId w:val="13"/>
        </w:numPr>
        <w:jc w:val="both"/>
        <w:rPr>
          <w:rFonts w:eastAsiaTheme="minorEastAsia"/>
          <w:b/>
          <w:sz w:val="28"/>
          <w:szCs w:val="28"/>
        </w:rPr>
      </w:pPr>
      <w:r w:rsidRPr="00AB1049">
        <w:rPr>
          <w:rFonts w:eastAsiaTheme="minorEastAsia"/>
          <w:b/>
          <w:sz w:val="28"/>
          <w:szCs w:val="28"/>
        </w:rPr>
        <w:t xml:space="preserve">Propuesta de Tarifas por derechos de </w:t>
      </w:r>
      <w:r w:rsidR="00710845">
        <w:rPr>
          <w:rFonts w:eastAsiaTheme="minorEastAsia"/>
          <w:b/>
          <w:sz w:val="28"/>
          <w:szCs w:val="28"/>
        </w:rPr>
        <w:t>otorgamiento</w:t>
      </w:r>
      <w:r w:rsidRPr="00AB1049">
        <w:rPr>
          <w:rFonts w:eastAsiaTheme="minorEastAsia"/>
          <w:b/>
          <w:sz w:val="28"/>
          <w:szCs w:val="28"/>
        </w:rPr>
        <w:t xml:space="preserve"> </w:t>
      </w:r>
      <w:r w:rsidR="001A1674" w:rsidRPr="00AB1049">
        <w:rPr>
          <w:rFonts w:eastAsiaTheme="minorEastAsia"/>
          <w:b/>
          <w:sz w:val="28"/>
          <w:szCs w:val="28"/>
        </w:rPr>
        <w:t>para radiodifusión y televisión</w:t>
      </w:r>
      <w:r w:rsidR="00574B5D">
        <w:rPr>
          <w:rFonts w:eastAsiaTheme="minorEastAsia"/>
          <w:b/>
          <w:sz w:val="28"/>
          <w:szCs w:val="28"/>
        </w:rPr>
        <w:t xml:space="preserve"> abierta</w:t>
      </w:r>
    </w:p>
    <w:p w:rsidR="002B55C6" w:rsidRDefault="004F46DA" w:rsidP="001143EA">
      <w:pPr>
        <w:ind w:left="709"/>
        <w:jc w:val="both"/>
        <w:rPr>
          <w:sz w:val="24"/>
          <w:szCs w:val="24"/>
        </w:rPr>
      </w:pPr>
      <w:r w:rsidRPr="00C77420">
        <w:rPr>
          <w:sz w:val="24"/>
          <w:szCs w:val="24"/>
        </w:rPr>
        <w:t xml:space="preserve">Para el pago por derechos de </w:t>
      </w:r>
      <w:r w:rsidR="00710845">
        <w:rPr>
          <w:sz w:val="24"/>
          <w:szCs w:val="24"/>
        </w:rPr>
        <w:t>otorgamiento</w:t>
      </w:r>
      <w:r w:rsidRPr="00C77420">
        <w:rPr>
          <w:sz w:val="24"/>
          <w:szCs w:val="24"/>
        </w:rPr>
        <w:t xml:space="preserve"> para los servicios de radiodifusión</w:t>
      </w:r>
      <w:r w:rsidR="001143EA">
        <w:rPr>
          <w:sz w:val="24"/>
          <w:szCs w:val="24"/>
        </w:rPr>
        <w:t>,</w:t>
      </w:r>
      <w:r w:rsidRPr="00C77420">
        <w:rPr>
          <w:sz w:val="24"/>
          <w:szCs w:val="24"/>
        </w:rPr>
        <w:t xml:space="preserve"> se entiende que deberán realizar los concesionarios de los sistemas de radiodifusión sonora y televisión </w:t>
      </w:r>
      <w:r w:rsidR="005E7E3D">
        <w:rPr>
          <w:sz w:val="24"/>
          <w:szCs w:val="24"/>
        </w:rPr>
        <w:t xml:space="preserve">abierta </w:t>
      </w:r>
      <w:r w:rsidRPr="00C77420">
        <w:rPr>
          <w:sz w:val="24"/>
          <w:szCs w:val="24"/>
        </w:rPr>
        <w:t xml:space="preserve">una sola vez por el periodo que dure la concesión de las frecuencias para la </w:t>
      </w:r>
      <w:r w:rsidR="00BA455E">
        <w:rPr>
          <w:sz w:val="24"/>
          <w:szCs w:val="24"/>
        </w:rPr>
        <w:t>opera</w:t>
      </w:r>
      <w:r w:rsidRPr="00C77420">
        <w:rPr>
          <w:sz w:val="24"/>
          <w:szCs w:val="24"/>
        </w:rPr>
        <w:t xml:space="preserve">ción del servicio. </w:t>
      </w:r>
    </w:p>
    <w:p w:rsidR="005E7E3D" w:rsidRDefault="005E7E3D" w:rsidP="001143EA">
      <w:pPr>
        <w:ind w:left="709"/>
        <w:jc w:val="both"/>
        <w:rPr>
          <w:sz w:val="24"/>
          <w:szCs w:val="24"/>
        </w:rPr>
      </w:pPr>
      <w:r>
        <w:rPr>
          <w:sz w:val="24"/>
          <w:szCs w:val="24"/>
        </w:rPr>
        <w:t>La fórmula planteada es:</w:t>
      </w:r>
    </w:p>
    <w:p w:rsidR="00DF6A11" w:rsidRPr="00C77420" w:rsidRDefault="005E7E3D" w:rsidP="00DF6A11">
      <w:pPr>
        <w:rPr>
          <w:sz w:val="24"/>
          <w:szCs w:val="24"/>
        </w:rPr>
      </w:pPr>
      <m:oMathPara>
        <m:oMath>
          <m:r>
            <w:rPr>
              <w:rFonts w:ascii="Cambria Math" w:hAnsi="Cambria Math"/>
              <w:sz w:val="24"/>
              <w:szCs w:val="24"/>
            </w:rPr>
            <m:t xml:space="preserve">Do </m:t>
          </m:r>
          <m:d>
            <m:dPr>
              <m:ctrlPr>
                <w:rPr>
                  <w:rFonts w:ascii="Cambria Math" w:hAnsi="Cambria Math"/>
                  <w:i/>
                  <w:sz w:val="24"/>
                  <w:szCs w:val="24"/>
                </w:rPr>
              </m:ctrlPr>
            </m:dPr>
            <m:e>
              <m:r>
                <w:rPr>
                  <w:rFonts w:ascii="Cambria Math" w:hAnsi="Cambria Math"/>
                  <w:sz w:val="24"/>
                  <w:szCs w:val="24"/>
                </w:rPr>
                <m:t>USD</m:t>
              </m:r>
            </m:e>
          </m:d>
          <m:r>
            <w:rPr>
              <w:rFonts w:ascii="Cambria Math" w:hAnsi="Cambria Math"/>
              <w:sz w:val="24"/>
              <w:szCs w:val="24"/>
            </w:rPr>
            <m:t>= SBU. t. </m:t>
          </m:r>
          <m:nary>
            <m:naryPr>
              <m:chr m:val="∑"/>
              <m:limLoc m:val="undOvr"/>
              <m:ctrlPr>
                <w:rPr>
                  <w:rFonts w:ascii="Cambria Math" w:hAnsi="Cambria Math"/>
                  <w:i/>
                  <w:iCs/>
                  <w:sz w:val="24"/>
                  <w:szCs w:val="24"/>
                </w:rPr>
              </m:ctrlPr>
            </m:naryPr>
            <m:sub>
              <m:r>
                <w:rPr>
                  <w:rFonts w:ascii="Cambria Math" w:hAnsi="Cambria Math"/>
                  <w:sz w:val="24"/>
                  <w:szCs w:val="24"/>
                </w:rPr>
                <m:t>i=1</m:t>
              </m:r>
            </m:sub>
            <m:sup>
              <m:r>
                <w:rPr>
                  <w:rFonts w:ascii="Cambria Math" w:hAnsi="Cambria Math"/>
                  <w:sz w:val="24"/>
                  <w:szCs w:val="24"/>
                </w:rPr>
                <m:t>n</m:t>
              </m:r>
            </m:sup>
            <m:e>
              <m:d>
                <m:dPr>
                  <m:ctrlPr>
                    <w:rPr>
                      <w:rFonts w:ascii="Cambria Math" w:hAnsi="Cambria Math"/>
                      <w:i/>
                      <w:iCs/>
                      <w:sz w:val="24"/>
                      <w:szCs w:val="24"/>
                    </w:rPr>
                  </m:ctrlPr>
                </m:dPr>
                <m:e>
                  <m:sSub>
                    <m:sSubPr>
                      <m:ctrlPr>
                        <w:rPr>
                          <w:rFonts w:ascii="Cambria Math" w:hAnsi="Cambria Math"/>
                          <w:i/>
                          <w:iCs/>
                          <w:sz w:val="24"/>
                          <w:szCs w:val="24"/>
                          <w:lang w:val="es-ES"/>
                        </w:rPr>
                      </m:ctrlPr>
                    </m:sSubPr>
                    <m:e>
                      <m:r>
                        <w:rPr>
                          <w:rFonts w:ascii="Cambria Math" w:hAnsi="Cambria Math"/>
                          <w:sz w:val="24"/>
                          <w:szCs w:val="24"/>
                          <w:lang w:val="es-ES"/>
                        </w:rPr>
                        <m:t>α</m:t>
                      </m:r>
                    </m:e>
                    <m:sub>
                      <m:r>
                        <w:rPr>
                          <w:rFonts w:ascii="Cambria Math" w:hAnsi="Cambria Math"/>
                          <w:sz w:val="24"/>
                          <w:szCs w:val="24"/>
                          <w:lang w:val="es-E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AB</m:t>
                      </m:r>
                    </m:e>
                    <m:sub>
                      <m:r>
                        <w:rPr>
                          <w:rFonts w:ascii="Cambria Math" w:hAnsi="Cambria Math"/>
                          <w:sz w:val="24"/>
                          <w:szCs w:val="24"/>
                        </w:rPr>
                        <m:t>i</m:t>
                      </m:r>
                    </m:sub>
                  </m:sSub>
                  <m:r>
                    <w:rPr>
                      <w:rFonts w:ascii="Cambria Math" w:hAnsi="Cambria Math"/>
                      <w:sz w:val="24"/>
                      <w:szCs w:val="24"/>
                      <w:lang w:val="es-ES"/>
                    </w:rPr>
                    <m:t> </m:t>
                  </m:r>
                </m:e>
              </m:d>
            </m:e>
          </m:nary>
          <m:r>
            <w:rPr>
              <w:rFonts w:ascii="Cambria Math" w:hAnsi="Cambria Math"/>
              <w:sz w:val="24"/>
              <w:szCs w:val="24"/>
            </w:rPr>
            <m:t xml:space="preserve">     (Ec. 3)</m:t>
          </m:r>
        </m:oMath>
      </m:oMathPara>
    </w:p>
    <w:p w:rsidR="001143EA" w:rsidRPr="00C77420" w:rsidRDefault="001143EA" w:rsidP="00BA455E">
      <w:pPr>
        <w:ind w:firstLine="708"/>
        <w:rPr>
          <w:sz w:val="24"/>
          <w:szCs w:val="24"/>
        </w:rPr>
      </w:pPr>
      <w:r w:rsidRPr="00C77420">
        <w:rPr>
          <w:sz w:val="24"/>
          <w:szCs w:val="24"/>
        </w:rPr>
        <w:t xml:space="preserve">Donde: </w:t>
      </w:r>
    </w:p>
    <w:p w:rsidR="00BA455E" w:rsidRPr="00BA455E" w:rsidRDefault="005E7E3D" w:rsidP="00BA455E">
      <w:pPr>
        <w:spacing w:after="0" w:line="240" w:lineRule="auto"/>
        <w:ind w:left="1416"/>
        <w:rPr>
          <w:bCs/>
          <w:sz w:val="24"/>
          <w:szCs w:val="24"/>
        </w:rPr>
      </w:pPr>
      <w:r>
        <w:rPr>
          <w:bCs/>
          <w:sz w:val="24"/>
          <w:szCs w:val="24"/>
        </w:rPr>
        <w:t>Do</w:t>
      </w:r>
      <w:r w:rsidR="00BA455E" w:rsidRPr="00BA455E">
        <w:rPr>
          <w:bCs/>
          <w:sz w:val="24"/>
          <w:szCs w:val="24"/>
        </w:rPr>
        <w:t xml:space="preserve">= Derecho </w:t>
      </w:r>
      <w:r>
        <w:rPr>
          <w:bCs/>
          <w:sz w:val="24"/>
          <w:szCs w:val="24"/>
        </w:rPr>
        <w:t>de otorgamiento</w:t>
      </w:r>
      <w:r w:rsidR="00BA455E" w:rsidRPr="00BA455E">
        <w:rPr>
          <w:bCs/>
          <w:sz w:val="24"/>
          <w:szCs w:val="24"/>
        </w:rPr>
        <w:t xml:space="preserve"> de frecuencias.</w:t>
      </w:r>
    </w:p>
    <w:p w:rsidR="00BA455E" w:rsidRPr="00BA455E" w:rsidRDefault="00BA455E" w:rsidP="00BA455E">
      <w:pPr>
        <w:spacing w:after="0" w:line="240" w:lineRule="auto"/>
        <w:ind w:left="1416"/>
        <w:jc w:val="both"/>
        <w:rPr>
          <w:bCs/>
          <w:sz w:val="24"/>
          <w:szCs w:val="24"/>
        </w:rPr>
      </w:pPr>
      <w:r w:rsidRPr="00BA455E">
        <w:rPr>
          <w:bCs/>
          <w:sz w:val="24"/>
          <w:szCs w:val="24"/>
        </w:rPr>
        <w:t>SBU= Salario Básico Unificado.</w:t>
      </w:r>
    </w:p>
    <w:p w:rsidR="00BA455E" w:rsidRPr="00BA455E" w:rsidRDefault="00BA56A3" w:rsidP="00BA455E">
      <w:pPr>
        <w:spacing w:after="0" w:line="240" w:lineRule="auto"/>
        <w:ind w:left="1416"/>
        <w:jc w:val="both"/>
        <w:rPr>
          <w:bCs/>
          <w:sz w:val="24"/>
          <w:szCs w:val="24"/>
        </w:rPr>
      </w:pPr>
      <m:oMath>
        <m:sSub>
          <m:sSubPr>
            <m:ctrlPr>
              <w:rPr>
                <w:rFonts w:ascii="Cambria Math" w:eastAsiaTheme="minorEastAsia" w:hAnsi="Cambria Math"/>
                <w:bCs/>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i</m:t>
            </m:r>
          </m:sub>
        </m:sSub>
      </m:oMath>
      <w:r w:rsidR="00BA455E">
        <w:rPr>
          <w:rFonts w:eastAsiaTheme="minorEastAsia"/>
          <w:bCs/>
          <w:sz w:val="24"/>
          <w:szCs w:val="24"/>
        </w:rPr>
        <w:t>=</w:t>
      </w:r>
      <w:r w:rsidR="00BA455E" w:rsidRPr="00BA455E">
        <w:rPr>
          <w:bCs/>
          <w:sz w:val="24"/>
          <w:szCs w:val="24"/>
        </w:rPr>
        <w:t xml:space="preserve"> Ponderador técnico socio territorial del cantón “i”, (De acuerdo a la Tabla 1, Anexo 1)</w:t>
      </w:r>
    </w:p>
    <w:p w:rsidR="00BA455E" w:rsidRPr="00BA455E" w:rsidRDefault="00BA455E" w:rsidP="00BA455E">
      <w:pPr>
        <w:spacing w:after="0" w:line="240" w:lineRule="auto"/>
        <w:ind w:left="1416"/>
        <w:jc w:val="both"/>
        <w:rPr>
          <w:bCs/>
          <w:sz w:val="24"/>
          <w:szCs w:val="24"/>
        </w:rPr>
      </w:pPr>
      <w:proofErr w:type="spellStart"/>
      <w:r w:rsidRPr="00BA455E">
        <w:rPr>
          <w:bCs/>
          <w:sz w:val="24"/>
          <w:szCs w:val="24"/>
        </w:rPr>
        <w:t>AB</w:t>
      </w:r>
      <w:r w:rsidRPr="00BA455E">
        <w:rPr>
          <w:bCs/>
          <w:sz w:val="24"/>
          <w:szCs w:val="24"/>
          <w:vertAlign w:val="subscript"/>
        </w:rPr>
        <w:t>i</w:t>
      </w:r>
      <w:proofErr w:type="spellEnd"/>
      <w:r w:rsidRPr="00BA455E">
        <w:rPr>
          <w:bCs/>
          <w:sz w:val="24"/>
          <w:szCs w:val="24"/>
        </w:rPr>
        <w:t xml:space="preserve"> = Factor relacionado con el ancho de banda típico del servicio  (AM=0,015 / FM=0,22 / TV=0,6) </w:t>
      </w:r>
    </w:p>
    <w:p w:rsidR="00BA455E" w:rsidRPr="00BA455E" w:rsidRDefault="00BA455E" w:rsidP="00BA455E">
      <w:pPr>
        <w:spacing w:after="0" w:line="240" w:lineRule="auto"/>
        <w:ind w:left="1416"/>
        <w:jc w:val="both"/>
        <w:rPr>
          <w:bCs/>
          <w:sz w:val="24"/>
          <w:szCs w:val="24"/>
        </w:rPr>
      </w:pPr>
      <w:r w:rsidRPr="00BA455E">
        <w:rPr>
          <w:bCs/>
          <w:sz w:val="24"/>
          <w:szCs w:val="24"/>
        </w:rPr>
        <w:t>t = tiempo de concesión (en años).</w:t>
      </w:r>
    </w:p>
    <w:p w:rsidR="00BA455E" w:rsidRPr="00BA455E" w:rsidRDefault="00BA455E" w:rsidP="00BA455E">
      <w:pPr>
        <w:spacing w:after="0" w:line="240" w:lineRule="auto"/>
        <w:ind w:left="1416"/>
        <w:jc w:val="both"/>
        <w:rPr>
          <w:bCs/>
          <w:sz w:val="24"/>
          <w:szCs w:val="24"/>
        </w:rPr>
      </w:pPr>
      <w:r w:rsidRPr="00BA455E">
        <w:rPr>
          <w:bCs/>
          <w:sz w:val="24"/>
          <w:szCs w:val="24"/>
        </w:rPr>
        <w:t>R= factor que determina un porcentaje asociado con el Salario Básico Unificado y los ingresos totales que percibe cada concesionario.</w:t>
      </w:r>
    </w:p>
    <w:p w:rsidR="00BA455E" w:rsidRPr="00BA455E" w:rsidRDefault="00BA455E" w:rsidP="00BA455E">
      <w:pPr>
        <w:spacing w:after="0" w:line="240" w:lineRule="auto"/>
        <w:ind w:left="1416"/>
        <w:jc w:val="both"/>
        <w:rPr>
          <w:bCs/>
          <w:sz w:val="24"/>
          <w:szCs w:val="24"/>
        </w:rPr>
      </w:pPr>
      <w:r w:rsidRPr="00BA455E">
        <w:rPr>
          <w:bCs/>
          <w:sz w:val="24"/>
          <w:szCs w:val="24"/>
        </w:rPr>
        <w:t xml:space="preserve">Y= ingresos anuales correspondientes al servicio. </w:t>
      </w:r>
    </w:p>
    <w:p w:rsidR="00BA455E" w:rsidRPr="00BA455E" w:rsidRDefault="00BA455E" w:rsidP="00BA455E">
      <w:pPr>
        <w:spacing w:after="0" w:line="240" w:lineRule="auto"/>
        <w:ind w:left="1416"/>
        <w:jc w:val="both"/>
        <w:rPr>
          <w:bCs/>
          <w:sz w:val="24"/>
          <w:szCs w:val="24"/>
        </w:rPr>
      </w:pPr>
      <w:r w:rsidRPr="00BA455E">
        <w:rPr>
          <w:bCs/>
          <w:sz w:val="24"/>
          <w:szCs w:val="24"/>
        </w:rPr>
        <w:t>n= Número total de cantones servidos por el sistema en operación.</w:t>
      </w:r>
    </w:p>
    <w:p w:rsidR="001A1674" w:rsidRDefault="00BA455E" w:rsidP="00BA455E">
      <w:pPr>
        <w:spacing w:after="0" w:line="240" w:lineRule="auto"/>
        <w:ind w:left="1416"/>
        <w:jc w:val="both"/>
        <w:rPr>
          <w:bCs/>
          <w:sz w:val="24"/>
          <w:szCs w:val="24"/>
        </w:rPr>
      </w:pPr>
      <w:r w:rsidRPr="00BA455E">
        <w:rPr>
          <w:bCs/>
          <w:sz w:val="24"/>
          <w:szCs w:val="24"/>
        </w:rPr>
        <w:t>i = Cantón donde exista frecuencias o estaciones concesionadas por el sistema en operación.</w:t>
      </w:r>
    </w:p>
    <w:p w:rsidR="00BA455E" w:rsidRPr="00C77420" w:rsidRDefault="00BA455E" w:rsidP="00BA455E">
      <w:pPr>
        <w:spacing w:after="0" w:line="240" w:lineRule="auto"/>
        <w:ind w:left="1416"/>
        <w:jc w:val="both"/>
        <w:rPr>
          <w:sz w:val="24"/>
          <w:szCs w:val="24"/>
        </w:rPr>
      </w:pPr>
    </w:p>
    <w:p w:rsidR="00BB0D8A" w:rsidRPr="00BB0D8A" w:rsidRDefault="00BB0D8A" w:rsidP="00BB0D8A">
      <w:pPr>
        <w:jc w:val="both"/>
        <w:rPr>
          <w:sz w:val="24"/>
          <w:szCs w:val="24"/>
        </w:rPr>
      </w:pPr>
      <w:r w:rsidRPr="00BB0D8A">
        <w:rPr>
          <w:sz w:val="24"/>
          <w:szCs w:val="24"/>
        </w:rPr>
        <w:t xml:space="preserve">Para el pago de derechos de otorgamiento para el caso de televisión digital terrestre y haciendo referencia al anexo 2 de la Norma Técnica de Televisión Digital Terrestre, se tiene </w:t>
      </w:r>
      <w:r w:rsidRPr="00BB0D8A">
        <w:rPr>
          <w:sz w:val="24"/>
          <w:szCs w:val="24"/>
        </w:rPr>
        <w:lastRenderedPageBreak/>
        <w:t xml:space="preserve">un factor de ancho de banda típico del servicio (AB) según la asignación de canales, </w:t>
      </w:r>
      <w:r w:rsidR="00403E31">
        <w:rPr>
          <w:sz w:val="24"/>
          <w:szCs w:val="24"/>
        </w:rPr>
        <w:t>como se identifica en el</w:t>
      </w:r>
      <w:r w:rsidRPr="00BB0D8A">
        <w:rPr>
          <w:sz w:val="24"/>
          <w:szCs w:val="24"/>
        </w:rPr>
        <w:t xml:space="preserve"> </w:t>
      </w:r>
      <w:r w:rsidR="00403E31">
        <w:rPr>
          <w:sz w:val="24"/>
          <w:szCs w:val="24"/>
        </w:rPr>
        <w:t>cuadro 2</w:t>
      </w:r>
      <w:r w:rsidRPr="00BB0D8A">
        <w:rPr>
          <w:sz w:val="24"/>
          <w:szCs w:val="24"/>
        </w:rPr>
        <w:t>:</w:t>
      </w:r>
    </w:p>
    <w:tbl>
      <w:tblPr>
        <w:tblStyle w:val="Tabladecuadrcula4-nfasis1"/>
        <w:tblW w:w="0" w:type="auto"/>
        <w:jc w:val="center"/>
        <w:tblLook w:val="04A0" w:firstRow="1" w:lastRow="0" w:firstColumn="1" w:lastColumn="0" w:noHBand="0" w:noVBand="1"/>
      </w:tblPr>
      <w:tblGrid>
        <w:gridCol w:w="3451"/>
        <w:gridCol w:w="3118"/>
      </w:tblGrid>
      <w:tr w:rsidR="00BB0D8A" w:rsidRPr="00BB0D8A" w:rsidTr="00BB0D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1" w:type="dxa"/>
          </w:tcPr>
          <w:p w:rsidR="00BB0D8A" w:rsidRPr="00BB0D8A" w:rsidRDefault="00BB0D8A" w:rsidP="001A782B">
            <w:pPr>
              <w:jc w:val="center"/>
              <w:rPr>
                <w:rFonts w:cs="Arial"/>
                <w:b w:val="0"/>
              </w:rPr>
            </w:pPr>
            <w:r w:rsidRPr="00BB0D8A">
              <w:rPr>
                <w:rFonts w:cs="Arial"/>
                <w:b w:val="0"/>
              </w:rPr>
              <w:t>Distribución de Canales Lógicos</w:t>
            </w:r>
          </w:p>
        </w:tc>
        <w:tc>
          <w:tcPr>
            <w:tcW w:w="3118" w:type="dxa"/>
          </w:tcPr>
          <w:p w:rsidR="00BB0D8A" w:rsidRPr="00BB0D8A" w:rsidRDefault="00BB0D8A" w:rsidP="001A782B">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BB0D8A">
              <w:rPr>
                <w:rFonts w:cs="Arial"/>
                <w:b w:val="0"/>
              </w:rPr>
              <w:t>Factor relacionado con el ancho de Banda Típico (</w:t>
            </w:r>
            <w:proofErr w:type="spellStart"/>
            <w:r w:rsidRPr="00BB0D8A">
              <w:rPr>
                <w:rFonts w:cs="Arial"/>
                <w:b w:val="0"/>
              </w:rPr>
              <w:t>AB</w:t>
            </w:r>
            <w:r w:rsidRPr="00BB0D8A">
              <w:rPr>
                <w:rFonts w:cs="Arial"/>
                <w:b w:val="0"/>
                <w:vertAlign w:val="subscript"/>
              </w:rPr>
              <w:t>i</w:t>
            </w:r>
            <w:proofErr w:type="spellEnd"/>
            <w:r w:rsidRPr="00BB0D8A">
              <w:rPr>
                <w:rFonts w:cs="Arial"/>
                <w:b w:val="0"/>
              </w:rPr>
              <w:t>)</w:t>
            </w:r>
          </w:p>
        </w:tc>
      </w:tr>
      <w:tr w:rsidR="00BB0D8A" w:rsidRPr="00BB0D8A" w:rsidTr="00BB0D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1" w:type="dxa"/>
          </w:tcPr>
          <w:p w:rsidR="00BB0D8A" w:rsidRPr="00BB0D8A" w:rsidRDefault="00BB0D8A" w:rsidP="001A782B">
            <w:pPr>
              <w:jc w:val="both"/>
              <w:rPr>
                <w:rFonts w:cs="Arial"/>
              </w:rPr>
            </w:pPr>
            <w:r w:rsidRPr="00BB0D8A">
              <w:rPr>
                <w:rFonts w:cs="Arial"/>
              </w:rPr>
              <w:t>1 Canal HD</w:t>
            </w:r>
          </w:p>
        </w:tc>
        <w:tc>
          <w:tcPr>
            <w:tcW w:w="3118" w:type="dxa"/>
          </w:tcPr>
          <w:p w:rsidR="00BB0D8A" w:rsidRPr="00BB0D8A" w:rsidRDefault="00BB0D8A" w:rsidP="001A782B">
            <w:pPr>
              <w:jc w:val="both"/>
              <w:cnfStyle w:val="000000100000" w:firstRow="0" w:lastRow="0" w:firstColumn="0" w:lastColumn="0" w:oddVBand="0" w:evenVBand="0" w:oddHBand="1" w:evenHBand="0" w:firstRowFirstColumn="0" w:firstRowLastColumn="0" w:lastRowFirstColumn="0" w:lastRowLastColumn="0"/>
              <w:rPr>
                <w:rFonts w:cs="Arial"/>
              </w:rPr>
            </w:pPr>
            <w:r w:rsidRPr="00BB0D8A">
              <w:rPr>
                <w:rFonts w:cs="Arial"/>
              </w:rPr>
              <w:t>0,6 canal HD</w:t>
            </w:r>
          </w:p>
        </w:tc>
      </w:tr>
      <w:tr w:rsidR="00BB0D8A" w:rsidRPr="00BB0D8A" w:rsidTr="00BB0D8A">
        <w:trPr>
          <w:jc w:val="center"/>
        </w:trPr>
        <w:tc>
          <w:tcPr>
            <w:cnfStyle w:val="001000000000" w:firstRow="0" w:lastRow="0" w:firstColumn="1" w:lastColumn="0" w:oddVBand="0" w:evenVBand="0" w:oddHBand="0" w:evenHBand="0" w:firstRowFirstColumn="0" w:firstRowLastColumn="0" w:lastRowFirstColumn="0" w:lastRowLastColumn="0"/>
            <w:tcW w:w="3451" w:type="dxa"/>
          </w:tcPr>
          <w:p w:rsidR="00BB0D8A" w:rsidRPr="00BB0D8A" w:rsidRDefault="00BB0D8A" w:rsidP="001A782B">
            <w:pPr>
              <w:jc w:val="both"/>
              <w:rPr>
                <w:rFonts w:cs="Arial"/>
              </w:rPr>
            </w:pPr>
            <w:r w:rsidRPr="00BB0D8A">
              <w:rPr>
                <w:rFonts w:cs="Arial"/>
              </w:rPr>
              <w:t>1 Canal HD y 2 Canales SD</w:t>
            </w:r>
          </w:p>
        </w:tc>
        <w:tc>
          <w:tcPr>
            <w:tcW w:w="3118" w:type="dxa"/>
          </w:tcPr>
          <w:p w:rsidR="00BB0D8A" w:rsidRPr="00BB0D8A" w:rsidRDefault="00BB0D8A" w:rsidP="001A782B">
            <w:pPr>
              <w:jc w:val="both"/>
              <w:cnfStyle w:val="000000000000" w:firstRow="0" w:lastRow="0" w:firstColumn="0" w:lastColumn="0" w:oddVBand="0" w:evenVBand="0" w:oddHBand="0" w:evenHBand="0" w:firstRowFirstColumn="0" w:firstRowLastColumn="0" w:lastRowFirstColumn="0" w:lastRowLastColumn="0"/>
              <w:rPr>
                <w:rFonts w:cs="Arial"/>
              </w:rPr>
            </w:pPr>
            <w:r w:rsidRPr="00BB0D8A">
              <w:rPr>
                <w:rFonts w:cs="Arial"/>
              </w:rPr>
              <w:t>0,3 canal HD y 0,15 cada canal SD</w:t>
            </w:r>
          </w:p>
        </w:tc>
      </w:tr>
      <w:tr w:rsidR="00BB0D8A" w:rsidRPr="00BB0D8A" w:rsidTr="00BB0D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1" w:type="dxa"/>
          </w:tcPr>
          <w:p w:rsidR="00BB0D8A" w:rsidRPr="00BB0D8A" w:rsidRDefault="00BB0D8A" w:rsidP="001A782B">
            <w:pPr>
              <w:jc w:val="both"/>
              <w:rPr>
                <w:rFonts w:cs="Arial"/>
              </w:rPr>
            </w:pPr>
            <w:r w:rsidRPr="00BB0D8A">
              <w:rPr>
                <w:rFonts w:cs="Arial"/>
              </w:rPr>
              <w:t>4 Canales SD</w:t>
            </w:r>
          </w:p>
        </w:tc>
        <w:tc>
          <w:tcPr>
            <w:tcW w:w="3118" w:type="dxa"/>
          </w:tcPr>
          <w:p w:rsidR="00BB0D8A" w:rsidRPr="00BB0D8A" w:rsidRDefault="00BB0D8A" w:rsidP="001A782B">
            <w:pPr>
              <w:jc w:val="both"/>
              <w:cnfStyle w:val="000000100000" w:firstRow="0" w:lastRow="0" w:firstColumn="0" w:lastColumn="0" w:oddVBand="0" w:evenVBand="0" w:oddHBand="1" w:evenHBand="0" w:firstRowFirstColumn="0" w:firstRowLastColumn="0" w:lastRowFirstColumn="0" w:lastRowLastColumn="0"/>
              <w:rPr>
                <w:rFonts w:cs="Arial"/>
              </w:rPr>
            </w:pPr>
            <w:r w:rsidRPr="00BB0D8A">
              <w:rPr>
                <w:rFonts w:cs="Arial"/>
              </w:rPr>
              <w:t>0,15 cada canal SD</w:t>
            </w:r>
          </w:p>
        </w:tc>
      </w:tr>
    </w:tbl>
    <w:p w:rsidR="00BB0D8A" w:rsidRPr="00C77420" w:rsidRDefault="00BB0D8A" w:rsidP="00BB0D8A">
      <w:pPr>
        <w:jc w:val="center"/>
        <w:rPr>
          <w:rFonts w:eastAsiaTheme="minorEastAsia"/>
          <w:sz w:val="24"/>
          <w:szCs w:val="24"/>
          <w:vertAlign w:val="subscript"/>
        </w:rPr>
      </w:pPr>
      <w:r w:rsidRPr="00C77420">
        <w:rPr>
          <w:rFonts w:eastAsiaTheme="minorEastAsia"/>
          <w:b/>
          <w:sz w:val="24"/>
          <w:szCs w:val="24"/>
        </w:rPr>
        <w:t xml:space="preserve">Cuadro </w:t>
      </w:r>
      <w:r>
        <w:rPr>
          <w:rFonts w:eastAsiaTheme="minorEastAsia"/>
          <w:b/>
          <w:sz w:val="24"/>
          <w:szCs w:val="24"/>
        </w:rPr>
        <w:t>2</w:t>
      </w:r>
      <w:r w:rsidRPr="00C77420">
        <w:rPr>
          <w:rFonts w:eastAsiaTheme="minorEastAsia"/>
          <w:b/>
          <w:sz w:val="24"/>
          <w:szCs w:val="24"/>
        </w:rPr>
        <w:t>.</w:t>
      </w:r>
      <w:r w:rsidRPr="00C77420">
        <w:rPr>
          <w:rFonts w:eastAsiaTheme="minorEastAsia"/>
          <w:sz w:val="24"/>
          <w:szCs w:val="24"/>
        </w:rPr>
        <w:t xml:space="preserve"> </w:t>
      </w:r>
      <w:r w:rsidRPr="00BB0D8A">
        <w:rPr>
          <w:rFonts w:eastAsiaTheme="minorEastAsia"/>
          <w:sz w:val="24"/>
          <w:szCs w:val="24"/>
        </w:rPr>
        <w:t>Factor relacionado con el ancho de banda típico (AB) para la TDT</w:t>
      </w:r>
    </w:p>
    <w:p w:rsidR="00CF648C" w:rsidRPr="00C77420" w:rsidRDefault="00CF648C" w:rsidP="00CF648C">
      <w:pPr>
        <w:pStyle w:val="Sinespaciado"/>
        <w:ind w:left="1416"/>
        <w:rPr>
          <w:rFonts w:asciiTheme="minorHAnsi" w:hAnsiTheme="minorHAnsi"/>
          <w:sz w:val="24"/>
          <w:szCs w:val="24"/>
        </w:rPr>
      </w:pPr>
    </w:p>
    <w:p w:rsidR="00CF648C" w:rsidRPr="00AB1049" w:rsidRDefault="00CF648C" w:rsidP="00AB1049">
      <w:pPr>
        <w:pStyle w:val="Prrafodelista"/>
        <w:numPr>
          <w:ilvl w:val="0"/>
          <w:numId w:val="13"/>
        </w:numPr>
        <w:ind w:left="567" w:hanging="567"/>
        <w:rPr>
          <w:rFonts w:eastAsiaTheme="minorEastAsia"/>
          <w:b/>
          <w:sz w:val="28"/>
          <w:szCs w:val="28"/>
        </w:rPr>
      </w:pPr>
      <w:r w:rsidRPr="00AB1049">
        <w:rPr>
          <w:rFonts w:eastAsiaTheme="minorEastAsia"/>
          <w:b/>
          <w:sz w:val="28"/>
          <w:szCs w:val="28"/>
        </w:rPr>
        <w:t>CONCLUSIONES</w:t>
      </w:r>
    </w:p>
    <w:p w:rsidR="00CF648C" w:rsidRPr="00C77420" w:rsidRDefault="00CF648C" w:rsidP="00CF648C">
      <w:pPr>
        <w:pStyle w:val="Prrafodelista"/>
        <w:ind w:left="567"/>
        <w:rPr>
          <w:rFonts w:eastAsiaTheme="minorEastAsia"/>
          <w:b/>
          <w:sz w:val="24"/>
          <w:szCs w:val="24"/>
        </w:rPr>
      </w:pPr>
    </w:p>
    <w:p w:rsidR="00CF648C" w:rsidRPr="00C77420" w:rsidRDefault="00CF648C" w:rsidP="00CF648C">
      <w:pPr>
        <w:pStyle w:val="Prrafodelista"/>
        <w:numPr>
          <w:ilvl w:val="0"/>
          <w:numId w:val="16"/>
        </w:numPr>
        <w:jc w:val="both"/>
        <w:rPr>
          <w:sz w:val="24"/>
          <w:szCs w:val="24"/>
          <w:lang w:val="es-ES"/>
        </w:rPr>
      </w:pPr>
      <w:r w:rsidRPr="00C77420">
        <w:rPr>
          <w:sz w:val="24"/>
          <w:szCs w:val="24"/>
          <w:lang w:val="es-ES"/>
        </w:rPr>
        <w:t xml:space="preserve">Se observaron los diferentes parámetros </w:t>
      </w:r>
      <w:r w:rsidR="00C027F3">
        <w:rPr>
          <w:sz w:val="24"/>
          <w:szCs w:val="24"/>
          <w:lang w:val="es-ES"/>
        </w:rPr>
        <w:t xml:space="preserve">y definiciones </w:t>
      </w:r>
      <w:r w:rsidRPr="00C77420">
        <w:rPr>
          <w:sz w:val="24"/>
          <w:szCs w:val="24"/>
          <w:lang w:val="es-ES"/>
        </w:rPr>
        <w:t>de los reglamentos de tarifas (radiodifusión</w:t>
      </w:r>
      <w:r w:rsidR="005C166A">
        <w:rPr>
          <w:sz w:val="24"/>
          <w:szCs w:val="24"/>
          <w:lang w:val="es-ES"/>
        </w:rPr>
        <w:t xml:space="preserve"> de señal abierta</w:t>
      </w:r>
      <w:r w:rsidRPr="00C77420">
        <w:rPr>
          <w:sz w:val="24"/>
          <w:szCs w:val="24"/>
          <w:lang w:val="es-ES"/>
        </w:rPr>
        <w:t xml:space="preserve">) en los cuales existe inaplicabilidad o dificultad de interpretación, de tal forma que en la nueva propuesta </w:t>
      </w:r>
      <w:r w:rsidR="00AD4BB9">
        <w:rPr>
          <w:sz w:val="24"/>
          <w:szCs w:val="24"/>
          <w:lang w:val="es-ES"/>
        </w:rPr>
        <w:t xml:space="preserve">se </w:t>
      </w:r>
      <w:r w:rsidRPr="00C77420">
        <w:rPr>
          <w:sz w:val="24"/>
          <w:szCs w:val="24"/>
          <w:lang w:val="es-ES"/>
        </w:rPr>
        <w:t>pueda</w:t>
      </w:r>
      <w:r w:rsidR="00AD4BB9">
        <w:rPr>
          <w:sz w:val="24"/>
          <w:szCs w:val="24"/>
          <w:lang w:val="es-ES"/>
        </w:rPr>
        <w:t>n</w:t>
      </w:r>
      <w:r w:rsidRPr="00C77420">
        <w:rPr>
          <w:sz w:val="24"/>
          <w:szCs w:val="24"/>
          <w:lang w:val="es-ES"/>
        </w:rPr>
        <w:t xml:space="preserve"> </w:t>
      </w:r>
      <w:r w:rsidR="00AD4BB9">
        <w:rPr>
          <w:sz w:val="24"/>
          <w:szCs w:val="24"/>
          <w:lang w:val="es-ES"/>
        </w:rPr>
        <w:t xml:space="preserve">aplicar parámetros existentes que </w:t>
      </w:r>
      <w:r w:rsidRPr="00C77420">
        <w:rPr>
          <w:sz w:val="24"/>
          <w:szCs w:val="24"/>
          <w:lang w:val="es-ES"/>
        </w:rPr>
        <w:t>result</w:t>
      </w:r>
      <w:r w:rsidR="00AD4BB9">
        <w:rPr>
          <w:sz w:val="24"/>
          <w:szCs w:val="24"/>
          <w:lang w:val="es-ES"/>
        </w:rPr>
        <w:t>en en</w:t>
      </w:r>
      <w:r w:rsidRPr="00C77420">
        <w:rPr>
          <w:sz w:val="24"/>
          <w:szCs w:val="24"/>
          <w:lang w:val="es-ES"/>
        </w:rPr>
        <w:t xml:space="preserve"> un procedimiento expedito</w:t>
      </w:r>
      <w:r w:rsidR="00AD4BB9">
        <w:rPr>
          <w:sz w:val="24"/>
          <w:szCs w:val="24"/>
          <w:lang w:val="es-ES"/>
        </w:rPr>
        <w:t xml:space="preserve"> de recaudación</w:t>
      </w:r>
      <w:r w:rsidRPr="00C77420">
        <w:rPr>
          <w:sz w:val="24"/>
          <w:szCs w:val="24"/>
          <w:lang w:val="es-ES"/>
        </w:rPr>
        <w:t xml:space="preserve">. </w:t>
      </w:r>
    </w:p>
    <w:p w:rsidR="00CF648C" w:rsidRPr="00C77420" w:rsidRDefault="00CF648C" w:rsidP="00CF648C">
      <w:pPr>
        <w:pStyle w:val="Prrafodelista"/>
        <w:numPr>
          <w:ilvl w:val="0"/>
          <w:numId w:val="16"/>
        </w:numPr>
        <w:jc w:val="both"/>
        <w:rPr>
          <w:sz w:val="24"/>
          <w:szCs w:val="24"/>
          <w:lang w:val="es-ES"/>
        </w:rPr>
      </w:pPr>
      <w:r w:rsidRPr="00C77420">
        <w:rPr>
          <w:sz w:val="24"/>
          <w:szCs w:val="24"/>
          <w:lang w:val="es-ES"/>
        </w:rPr>
        <w:t>Para la adecuación de las nuevas tarifas de radiodifusión y televisión</w:t>
      </w:r>
      <w:r w:rsidR="005C166A">
        <w:rPr>
          <w:sz w:val="24"/>
          <w:szCs w:val="24"/>
          <w:lang w:val="es-ES"/>
        </w:rPr>
        <w:t xml:space="preserve"> abierta</w:t>
      </w:r>
      <w:r w:rsidRPr="00C77420">
        <w:rPr>
          <w:sz w:val="24"/>
          <w:szCs w:val="24"/>
          <w:lang w:val="es-ES"/>
        </w:rPr>
        <w:t>, se obtienen valores</w:t>
      </w:r>
      <w:r w:rsidR="005223F7">
        <w:rPr>
          <w:sz w:val="24"/>
          <w:szCs w:val="24"/>
          <w:lang w:val="es-ES"/>
        </w:rPr>
        <w:t xml:space="preserve"> </w:t>
      </w:r>
      <w:r w:rsidRPr="00C77420">
        <w:rPr>
          <w:sz w:val="24"/>
          <w:szCs w:val="24"/>
          <w:lang w:val="es-ES"/>
        </w:rPr>
        <w:t>redistribuidos, los mismos que están de acuerdo a los ingresos en los servicios.</w:t>
      </w:r>
    </w:p>
    <w:p w:rsidR="00CF648C" w:rsidRPr="00E24763" w:rsidRDefault="005C166A">
      <w:pPr>
        <w:pStyle w:val="Prrafodelista"/>
        <w:numPr>
          <w:ilvl w:val="0"/>
          <w:numId w:val="16"/>
        </w:numPr>
        <w:jc w:val="both"/>
        <w:rPr>
          <w:sz w:val="24"/>
          <w:szCs w:val="24"/>
          <w:lang w:val="es-ES"/>
        </w:rPr>
      </w:pPr>
      <w:r>
        <w:rPr>
          <w:sz w:val="24"/>
          <w:szCs w:val="24"/>
          <w:lang w:val="es-ES"/>
        </w:rPr>
        <w:t>El</w:t>
      </w:r>
      <w:r w:rsidR="00CF648C" w:rsidRPr="00E24763">
        <w:rPr>
          <w:sz w:val="24"/>
          <w:szCs w:val="24"/>
          <w:lang w:val="es-ES"/>
        </w:rPr>
        <w:t xml:space="preserve"> cálculo de los valores </w:t>
      </w:r>
      <w:r>
        <w:rPr>
          <w:sz w:val="24"/>
          <w:szCs w:val="24"/>
          <w:lang w:val="es-ES"/>
        </w:rPr>
        <w:t>“alfa” y “</w:t>
      </w:r>
      <w:proofErr w:type="spellStart"/>
      <w:r>
        <w:rPr>
          <w:sz w:val="24"/>
          <w:szCs w:val="24"/>
          <w:lang w:val="es-ES"/>
        </w:rPr>
        <w:t>fps</w:t>
      </w:r>
      <w:proofErr w:type="spellEnd"/>
      <w:r>
        <w:rPr>
          <w:sz w:val="24"/>
          <w:szCs w:val="24"/>
          <w:lang w:val="es-ES"/>
        </w:rPr>
        <w:t>”</w:t>
      </w:r>
      <w:r w:rsidR="00CF648C" w:rsidRPr="00E24763">
        <w:rPr>
          <w:sz w:val="24"/>
          <w:szCs w:val="24"/>
          <w:lang w:val="es-ES"/>
        </w:rPr>
        <w:t xml:space="preserve"> permiten incentivar la masificación y dotación de infraestructura, según la priorización y el </w:t>
      </w:r>
      <w:r w:rsidR="00C027F3" w:rsidRPr="00E24763">
        <w:rPr>
          <w:sz w:val="24"/>
          <w:szCs w:val="24"/>
          <w:lang w:val="es-ES"/>
        </w:rPr>
        <w:t>entorno del negocio para</w:t>
      </w:r>
      <w:r w:rsidR="00CF648C" w:rsidRPr="00E24763">
        <w:rPr>
          <w:sz w:val="24"/>
          <w:szCs w:val="24"/>
          <w:lang w:val="es-ES"/>
        </w:rPr>
        <w:t xml:space="preserve"> radiodifusión y </w:t>
      </w:r>
      <w:r>
        <w:rPr>
          <w:sz w:val="24"/>
          <w:szCs w:val="24"/>
          <w:lang w:val="es-ES"/>
        </w:rPr>
        <w:t>t</w:t>
      </w:r>
      <w:r w:rsidR="00CF648C" w:rsidRPr="00E24763">
        <w:rPr>
          <w:sz w:val="24"/>
          <w:szCs w:val="24"/>
          <w:lang w:val="es-ES"/>
        </w:rPr>
        <w:t>elevisión</w:t>
      </w:r>
      <w:r>
        <w:rPr>
          <w:sz w:val="24"/>
          <w:szCs w:val="24"/>
          <w:lang w:val="es-ES"/>
        </w:rPr>
        <w:t xml:space="preserve"> abierta</w:t>
      </w:r>
      <w:r w:rsidR="00CF648C" w:rsidRPr="00E24763">
        <w:rPr>
          <w:sz w:val="24"/>
          <w:szCs w:val="24"/>
          <w:lang w:val="es-ES"/>
        </w:rPr>
        <w:t>.</w:t>
      </w:r>
    </w:p>
    <w:p w:rsidR="00CF648C" w:rsidRPr="00C77420" w:rsidRDefault="00CF648C" w:rsidP="00CF648C">
      <w:pPr>
        <w:pStyle w:val="Prrafodelista"/>
        <w:jc w:val="both"/>
        <w:rPr>
          <w:sz w:val="24"/>
          <w:szCs w:val="24"/>
          <w:lang w:val="es-ES"/>
        </w:rPr>
      </w:pPr>
    </w:p>
    <w:p w:rsidR="00CF648C" w:rsidRPr="00AB1049" w:rsidRDefault="00CF648C" w:rsidP="00AB1049">
      <w:pPr>
        <w:pStyle w:val="Prrafodelista"/>
        <w:numPr>
          <w:ilvl w:val="0"/>
          <w:numId w:val="13"/>
        </w:numPr>
        <w:ind w:left="567" w:hanging="567"/>
        <w:rPr>
          <w:rFonts w:eastAsiaTheme="minorEastAsia"/>
          <w:b/>
          <w:sz w:val="28"/>
          <w:szCs w:val="28"/>
        </w:rPr>
      </w:pPr>
      <w:r w:rsidRPr="00AB1049">
        <w:rPr>
          <w:rFonts w:eastAsiaTheme="minorEastAsia"/>
          <w:b/>
          <w:sz w:val="28"/>
          <w:szCs w:val="28"/>
        </w:rPr>
        <w:t>RECOMENDACIÓN</w:t>
      </w:r>
    </w:p>
    <w:p w:rsidR="00CF648C" w:rsidRPr="00C77420" w:rsidRDefault="00CF648C" w:rsidP="00CF648C">
      <w:pPr>
        <w:jc w:val="both"/>
        <w:rPr>
          <w:sz w:val="24"/>
          <w:szCs w:val="24"/>
          <w:lang w:val="es-ES"/>
        </w:rPr>
      </w:pPr>
      <w:r w:rsidRPr="00C77420">
        <w:rPr>
          <w:sz w:val="24"/>
          <w:szCs w:val="24"/>
          <w:lang w:val="es-ES"/>
        </w:rPr>
        <w:t>Por</w:t>
      </w:r>
      <w:r w:rsidR="005223F7">
        <w:rPr>
          <w:sz w:val="24"/>
          <w:szCs w:val="24"/>
          <w:lang w:val="es-ES"/>
        </w:rPr>
        <w:t xml:space="preserve"> </w:t>
      </w:r>
      <w:r w:rsidRPr="00C77420">
        <w:rPr>
          <w:sz w:val="24"/>
          <w:szCs w:val="24"/>
          <w:lang w:val="es-ES"/>
        </w:rPr>
        <w:t>lo</w:t>
      </w:r>
      <w:r w:rsidR="005223F7">
        <w:rPr>
          <w:sz w:val="24"/>
          <w:szCs w:val="24"/>
          <w:lang w:val="es-ES"/>
        </w:rPr>
        <w:t xml:space="preserve"> </w:t>
      </w:r>
      <w:r w:rsidRPr="00C77420">
        <w:rPr>
          <w:sz w:val="24"/>
          <w:szCs w:val="24"/>
          <w:lang w:val="es-ES"/>
        </w:rPr>
        <w:t>indicado,</w:t>
      </w:r>
      <w:r w:rsidR="005223F7">
        <w:rPr>
          <w:sz w:val="24"/>
          <w:szCs w:val="24"/>
          <w:lang w:val="es-ES"/>
        </w:rPr>
        <w:t xml:space="preserve">  </w:t>
      </w:r>
      <w:r w:rsidRPr="00C77420">
        <w:rPr>
          <w:sz w:val="24"/>
          <w:szCs w:val="24"/>
          <w:lang w:val="es-ES"/>
        </w:rPr>
        <w:t>se</w:t>
      </w:r>
      <w:r w:rsidR="005223F7">
        <w:rPr>
          <w:sz w:val="24"/>
          <w:szCs w:val="24"/>
          <w:lang w:val="es-ES"/>
        </w:rPr>
        <w:t xml:space="preserve"> </w:t>
      </w:r>
      <w:r w:rsidRPr="00C77420">
        <w:rPr>
          <w:sz w:val="24"/>
          <w:szCs w:val="24"/>
          <w:lang w:val="es-ES"/>
        </w:rPr>
        <w:t>recomienda</w:t>
      </w:r>
      <w:r w:rsidR="005223F7">
        <w:rPr>
          <w:sz w:val="24"/>
          <w:szCs w:val="24"/>
          <w:lang w:val="es-ES"/>
        </w:rPr>
        <w:t xml:space="preserve"> </w:t>
      </w:r>
      <w:r w:rsidRPr="00C77420">
        <w:rPr>
          <w:sz w:val="24"/>
          <w:szCs w:val="24"/>
          <w:lang w:val="es-ES"/>
        </w:rPr>
        <w:t>que</w:t>
      </w:r>
      <w:r w:rsidR="005223F7">
        <w:rPr>
          <w:sz w:val="24"/>
          <w:szCs w:val="24"/>
          <w:lang w:val="es-ES"/>
        </w:rPr>
        <w:t xml:space="preserve"> </w:t>
      </w:r>
      <w:r w:rsidRPr="00C77420">
        <w:rPr>
          <w:sz w:val="24"/>
          <w:szCs w:val="24"/>
          <w:lang w:val="es-ES"/>
        </w:rPr>
        <w:t>la</w:t>
      </w:r>
      <w:r w:rsidR="005223F7">
        <w:rPr>
          <w:sz w:val="24"/>
          <w:szCs w:val="24"/>
          <w:lang w:val="es-ES"/>
        </w:rPr>
        <w:t xml:space="preserve"> </w:t>
      </w:r>
      <w:r w:rsidRPr="00C77420">
        <w:rPr>
          <w:sz w:val="24"/>
          <w:szCs w:val="24"/>
          <w:lang w:val="es-ES"/>
        </w:rPr>
        <w:t>Dirección</w:t>
      </w:r>
      <w:r w:rsidR="005223F7">
        <w:rPr>
          <w:sz w:val="24"/>
          <w:szCs w:val="24"/>
          <w:lang w:val="es-ES"/>
        </w:rPr>
        <w:t xml:space="preserve"> </w:t>
      </w:r>
      <w:r w:rsidRPr="00C77420">
        <w:rPr>
          <w:sz w:val="24"/>
          <w:szCs w:val="24"/>
          <w:lang w:val="es-ES"/>
        </w:rPr>
        <w:t>Ejecutiva</w:t>
      </w:r>
      <w:r w:rsidR="005223F7">
        <w:rPr>
          <w:sz w:val="24"/>
          <w:szCs w:val="24"/>
          <w:lang w:val="es-ES"/>
        </w:rPr>
        <w:t xml:space="preserve"> </w:t>
      </w:r>
      <w:r w:rsidRPr="00C77420">
        <w:rPr>
          <w:sz w:val="24"/>
          <w:szCs w:val="24"/>
          <w:lang w:val="es-ES"/>
        </w:rPr>
        <w:t>de</w:t>
      </w:r>
      <w:r w:rsidR="005223F7">
        <w:rPr>
          <w:sz w:val="24"/>
          <w:szCs w:val="24"/>
          <w:lang w:val="es-ES"/>
        </w:rPr>
        <w:t xml:space="preserve"> </w:t>
      </w:r>
      <w:r w:rsidRPr="00C77420">
        <w:rPr>
          <w:sz w:val="24"/>
          <w:szCs w:val="24"/>
          <w:lang w:val="es-ES"/>
        </w:rPr>
        <w:t>la ARCOTEL, remita</w:t>
      </w:r>
      <w:r w:rsidR="005223F7">
        <w:rPr>
          <w:sz w:val="24"/>
          <w:szCs w:val="24"/>
          <w:lang w:val="es-ES"/>
        </w:rPr>
        <w:t xml:space="preserve"> </w:t>
      </w:r>
      <w:r w:rsidRPr="00C77420">
        <w:rPr>
          <w:sz w:val="24"/>
          <w:szCs w:val="24"/>
          <w:lang w:val="es-ES"/>
        </w:rPr>
        <w:t>el</w:t>
      </w:r>
      <w:r w:rsidR="005223F7">
        <w:rPr>
          <w:sz w:val="24"/>
          <w:szCs w:val="24"/>
          <w:lang w:val="es-ES"/>
        </w:rPr>
        <w:t xml:space="preserve"> </w:t>
      </w:r>
      <w:r w:rsidRPr="00C77420">
        <w:rPr>
          <w:sz w:val="24"/>
          <w:szCs w:val="24"/>
          <w:lang w:val="es-ES"/>
        </w:rPr>
        <w:t>presente informe</w:t>
      </w:r>
      <w:r w:rsidR="005223F7">
        <w:rPr>
          <w:sz w:val="24"/>
          <w:szCs w:val="24"/>
          <w:lang w:val="es-ES"/>
        </w:rPr>
        <w:t xml:space="preserve"> </w:t>
      </w:r>
      <w:r w:rsidRPr="00C77420">
        <w:rPr>
          <w:sz w:val="24"/>
          <w:szCs w:val="24"/>
          <w:lang w:val="es-ES"/>
        </w:rPr>
        <w:t>de</w:t>
      </w:r>
      <w:r w:rsidR="005223F7">
        <w:rPr>
          <w:sz w:val="24"/>
          <w:szCs w:val="24"/>
          <w:lang w:val="es-ES"/>
        </w:rPr>
        <w:t xml:space="preserve"> </w:t>
      </w:r>
      <w:r w:rsidRPr="00C77420">
        <w:rPr>
          <w:sz w:val="24"/>
          <w:szCs w:val="24"/>
          <w:lang w:val="es-ES"/>
        </w:rPr>
        <w:t>justificación</w:t>
      </w:r>
      <w:r w:rsidR="005223F7">
        <w:rPr>
          <w:sz w:val="24"/>
          <w:szCs w:val="24"/>
          <w:lang w:val="es-ES"/>
        </w:rPr>
        <w:t xml:space="preserve"> </w:t>
      </w:r>
      <w:r w:rsidRPr="00C77420">
        <w:rPr>
          <w:sz w:val="24"/>
          <w:szCs w:val="24"/>
          <w:lang w:val="es-ES"/>
        </w:rPr>
        <w:t>sobre las adecuaciones e integración del</w:t>
      </w:r>
      <w:r w:rsidR="005223F7">
        <w:rPr>
          <w:sz w:val="24"/>
          <w:szCs w:val="24"/>
          <w:lang w:val="es-ES"/>
        </w:rPr>
        <w:t xml:space="preserve"> </w:t>
      </w:r>
      <w:r w:rsidRPr="00C77420">
        <w:rPr>
          <w:sz w:val="24"/>
          <w:szCs w:val="24"/>
          <w:lang w:val="es-ES"/>
        </w:rPr>
        <w:t>proyecto</w:t>
      </w:r>
      <w:r w:rsidR="005223F7">
        <w:rPr>
          <w:sz w:val="24"/>
          <w:szCs w:val="24"/>
          <w:lang w:val="es-ES"/>
        </w:rPr>
        <w:t xml:space="preserve"> </w:t>
      </w:r>
      <w:r w:rsidRPr="00C77420">
        <w:rPr>
          <w:sz w:val="24"/>
          <w:szCs w:val="24"/>
          <w:lang w:val="es-ES"/>
        </w:rPr>
        <w:t>de “</w:t>
      </w:r>
      <w:r w:rsidR="00B96300" w:rsidRPr="00B96300">
        <w:rPr>
          <w:b/>
          <w:sz w:val="24"/>
          <w:szCs w:val="24"/>
          <w:lang w:val="es-ES"/>
        </w:rPr>
        <w:t>REGLAMENTO DE DERECHOS POR OTORGAMIENTO DE TÍTULOS HABILITANTES Y TARIFAS PARA SERVICIOS DE RADIODIFUSIÓN</w:t>
      </w:r>
      <w:r w:rsidRPr="00C77420">
        <w:rPr>
          <w:sz w:val="24"/>
          <w:szCs w:val="24"/>
          <w:lang w:val="es-ES"/>
        </w:rPr>
        <w:t>” a</w:t>
      </w:r>
      <w:r w:rsidR="005223F7">
        <w:rPr>
          <w:sz w:val="24"/>
          <w:szCs w:val="24"/>
          <w:lang w:val="es-ES"/>
        </w:rPr>
        <w:t xml:space="preserve"> </w:t>
      </w:r>
      <w:r w:rsidRPr="00C77420">
        <w:rPr>
          <w:sz w:val="24"/>
          <w:szCs w:val="24"/>
          <w:lang w:val="es-ES"/>
        </w:rPr>
        <w:t>fin</w:t>
      </w:r>
      <w:r w:rsidR="005223F7">
        <w:rPr>
          <w:sz w:val="24"/>
          <w:szCs w:val="24"/>
          <w:lang w:val="es-ES"/>
        </w:rPr>
        <w:t xml:space="preserve"> </w:t>
      </w:r>
      <w:r w:rsidRPr="00C77420">
        <w:rPr>
          <w:sz w:val="24"/>
          <w:szCs w:val="24"/>
          <w:lang w:val="es-ES"/>
        </w:rPr>
        <w:t>de</w:t>
      </w:r>
      <w:r w:rsidR="005223F7">
        <w:rPr>
          <w:sz w:val="24"/>
          <w:szCs w:val="24"/>
          <w:lang w:val="es-ES"/>
        </w:rPr>
        <w:t xml:space="preserve"> </w:t>
      </w:r>
      <w:r w:rsidRPr="00C77420">
        <w:rPr>
          <w:sz w:val="24"/>
          <w:szCs w:val="24"/>
          <w:lang w:val="es-ES"/>
        </w:rPr>
        <w:t>que</w:t>
      </w:r>
      <w:r w:rsidR="005223F7">
        <w:rPr>
          <w:sz w:val="24"/>
          <w:szCs w:val="24"/>
          <w:lang w:val="es-ES"/>
        </w:rPr>
        <w:t xml:space="preserve"> </w:t>
      </w:r>
      <w:r w:rsidRPr="00C77420">
        <w:rPr>
          <w:sz w:val="24"/>
          <w:szCs w:val="24"/>
          <w:lang w:val="es-ES"/>
        </w:rPr>
        <w:t>el</w:t>
      </w:r>
      <w:r w:rsidR="005223F7">
        <w:rPr>
          <w:sz w:val="24"/>
          <w:szCs w:val="24"/>
          <w:lang w:val="es-ES"/>
        </w:rPr>
        <w:t xml:space="preserve"> </w:t>
      </w:r>
      <w:r w:rsidRPr="00C77420">
        <w:rPr>
          <w:sz w:val="24"/>
          <w:szCs w:val="24"/>
          <w:lang w:val="es-ES"/>
        </w:rPr>
        <w:t>Directorio</w:t>
      </w:r>
      <w:r w:rsidR="005223F7">
        <w:rPr>
          <w:sz w:val="24"/>
          <w:szCs w:val="24"/>
          <w:lang w:val="es-ES"/>
        </w:rPr>
        <w:t xml:space="preserve"> </w:t>
      </w:r>
      <w:r w:rsidRPr="00C77420">
        <w:rPr>
          <w:sz w:val="24"/>
          <w:szCs w:val="24"/>
          <w:lang w:val="es-ES"/>
        </w:rPr>
        <w:t>de</w:t>
      </w:r>
      <w:r w:rsidR="005223F7">
        <w:rPr>
          <w:sz w:val="24"/>
          <w:szCs w:val="24"/>
          <w:lang w:val="es-ES"/>
        </w:rPr>
        <w:t xml:space="preserve"> </w:t>
      </w:r>
      <w:r w:rsidRPr="00C77420">
        <w:rPr>
          <w:sz w:val="24"/>
          <w:szCs w:val="24"/>
          <w:lang w:val="es-ES"/>
        </w:rPr>
        <w:t>la ARCOTEL, autorice realizar a la Dirección Ejecutiva,</w:t>
      </w:r>
      <w:r w:rsidR="005223F7">
        <w:rPr>
          <w:sz w:val="24"/>
          <w:szCs w:val="24"/>
          <w:lang w:val="es-ES"/>
        </w:rPr>
        <w:t xml:space="preserve"> </w:t>
      </w:r>
      <w:r w:rsidRPr="00C77420">
        <w:rPr>
          <w:sz w:val="24"/>
          <w:szCs w:val="24"/>
          <w:lang w:val="es-ES"/>
        </w:rPr>
        <w:t>realizar el procedimiento de consultas públicas.</w:t>
      </w:r>
    </w:p>
    <w:p w:rsidR="00AB1049" w:rsidRDefault="00AB1049">
      <w:pPr>
        <w:rPr>
          <w:sz w:val="24"/>
          <w:szCs w:val="24"/>
          <w:lang w:val="es-ES"/>
        </w:rPr>
      </w:pPr>
    </w:p>
    <w:p w:rsidR="00E11795" w:rsidRDefault="00E11795">
      <w:pPr>
        <w:rPr>
          <w:sz w:val="24"/>
          <w:szCs w:val="24"/>
          <w:lang w:val="es-ES"/>
        </w:rPr>
      </w:pPr>
    </w:p>
    <w:p w:rsidR="00E11795" w:rsidRDefault="00E11795">
      <w:pPr>
        <w:rPr>
          <w:sz w:val="24"/>
          <w:szCs w:val="24"/>
          <w:lang w:val="es-ES"/>
        </w:rPr>
      </w:pPr>
    </w:p>
    <w:p w:rsidR="002B55C6" w:rsidRPr="00C77420" w:rsidRDefault="002B55C6" w:rsidP="002B55C6">
      <w:pPr>
        <w:jc w:val="center"/>
        <w:rPr>
          <w:b/>
          <w:sz w:val="24"/>
          <w:szCs w:val="24"/>
        </w:rPr>
      </w:pPr>
      <w:r w:rsidRPr="00C77420">
        <w:rPr>
          <w:b/>
          <w:sz w:val="24"/>
          <w:szCs w:val="24"/>
        </w:rPr>
        <w:lastRenderedPageBreak/>
        <w:t xml:space="preserve">ANEXO </w:t>
      </w:r>
      <w:r w:rsidR="0067385F">
        <w:rPr>
          <w:b/>
          <w:sz w:val="24"/>
          <w:szCs w:val="24"/>
        </w:rPr>
        <w:t>1</w:t>
      </w:r>
      <w:r w:rsidRPr="00C77420">
        <w:rPr>
          <w:b/>
          <w:sz w:val="24"/>
          <w:szCs w:val="24"/>
        </w:rPr>
        <w:t xml:space="preserve"> “Factor de priorización”</w:t>
      </w:r>
    </w:p>
    <w:p w:rsidR="00197D93" w:rsidRPr="00C77420" w:rsidRDefault="00197D93" w:rsidP="00197D93">
      <w:pPr>
        <w:jc w:val="both"/>
        <w:rPr>
          <w:rFonts w:eastAsiaTheme="minorEastAsia"/>
          <w:sz w:val="24"/>
          <w:szCs w:val="24"/>
        </w:rPr>
      </w:pPr>
      <w:r w:rsidRPr="00C77420">
        <w:rPr>
          <w:rFonts w:eastAsiaTheme="minorEastAsia"/>
          <w:b/>
          <w:sz w:val="24"/>
          <w:szCs w:val="24"/>
        </w:rPr>
        <w:t>A</w:t>
      </w:r>
      <w:r w:rsidR="0067385F">
        <w:rPr>
          <w:rFonts w:eastAsiaTheme="minorEastAsia"/>
          <w:b/>
          <w:sz w:val="24"/>
          <w:szCs w:val="24"/>
        </w:rPr>
        <w:t>1</w:t>
      </w:r>
      <w:r w:rsidRPr="00C77420">
        <w:rPr>
          <w:rFonts w:eastAsiaTheme="minorEastAsia"/>
          <w:b/>
          <w:sz w:val="24"/>
          <w:szCs w:val="24"/>
        </w:rPr>
        <w:t>-</w:t>
      </w:r>
      <w:r w:rsidR="0067385F">
        <w:rPr>
          <w:rFonts w:eastAsiaTheme="minorEastAsia"/>
          <w:b/>
          <w:sz w:val="24"/>
          <w:szCs w:val="24"/>
        </w:rPr>
        <w:t>1</w:t>
      </w:r>
      <w:r w:rsidRPr="00C77420">
        <w:rPr>
          <w:rFonts w:eastAsiaTheme="minorEastAsia"/>
          <w:b/>
          <w:sz w:val="24"/>
          <w:szCs w:val="24"/>
        </w:rPr>
        <w:t xml:space="preserve">. Cálculo del factor </w:t>
      </w:r>
      <w:r w:rsidR="0008316F">
        <w:rPr>
          <w:rFonts w:eastAsiaTheme="minorEastAsia"/>
          <w:b/>
          <w:sz w:val="24"/>
          <w:szCs w:val="24"/>
        </w:rPr>
        <w:t>“alfa”</w:t>
      </w:r>
      <w:r w:rsidRPr="00C77420">
        <w:rPr>
          <w:rFonts w:eastAsiaTheme="minorEastAsia"/>
          <w:b/>
          <w:sz w:val="24"/>
          <w:szCs w:val="24"/>
        </w:rPr>
        <w:t xml:space="preserve"> (priorización cantonal para radiodifusión y televisión)</w:t>
      </w:r>
      <w:r w:rsidRPr="00C77420">
        <w:rPr>
          <w:rFonts w:eastAsiaTheme="minorEastAsia"/>
          <w:sz w:val="24"/>
          <w:szCs w:val="24"/>
        </w:rPr>
        <w:t xml:space="preserve">: Factor de priorización </w:t>
      </w:r>
      <w:r w:rsidR="0008316F">
        <w:rPr>
          <w:rFonts w:eastAsiaTheme="minorEastAsia"/>
          <w:sz w:val="24"/>
          <w:szCs w:val="24"/>
        </w:rPr>
        <w:t xml:space="preserve">es </w:t>
      </w:r>
      <w:r w:rsidRPr="00C77420">
        <w:rPr>
          <w:rFonts w:eastAsiaTheme="minorEastAsia"/>
          <w:sz w:val="24"/>
          <w:szCs w:val="24"/>
        </w:rPr>
        <w:t xml:space="preserve">realizado a través del cálculo de un índice </w:t>
      </w:r>
      <w:r w:rsidR="00234777" w:rsidRPr="00C77420">
        <w:rPr>
          <w:rFonts w:eastAsiaTheme="minorEastAsia"/>
          <w:sz w:val="24"/>
          <w:szCs w:val="24"/>
        </w:rPr>
        <w:t>mediante la técnica de análisis de componentes principales categorizados</w:t>
      </w:r>
      <w:r w:rsidR="0008316F">
        <w:rPr>
          <w:rFonts w:eastAsiaTheme="minorEastAsia"/>
          <w:sz w:val="24"/>
          <w:szCs w:val="24"/>
        </w:rPr>
        <w:t xml:space="preserve"> (ACP-C)</w:t>
      </w:r>
      <w:r w:rsidR="00234777" w:rsidRPr="00C77420">
        <w:rPr>
          <w:rFonts w:eastAsiaTheme="minorEastAsia"/>
          <w:sz w:val="24"/>
          <w:szCs w:val="24"/>
        </w:rPr>
        <w:t xml:space="preserve">, en el cual se </w:t>
      </w:r>
      <w:r w:rsidRPr="00C77420">
        <w:rPr>
          <w:rFonts w:eastAsiaTheme="minorEastAsia"/>
          <w:sz w:val="24"/>
          <w:szCs w:val="24"/>
        </w:rPr>
        <w:t>relaciona</w:t>
      </w:r>
      <w:r w:rsidR="00234777" w:rsidRPr="00C77420">
        <w:rPr>
          <w:rFonts w:eastAsiaTheme="minorEastAsia"/>
          <w:sz w:val="24"/>
          <w:szCs w:val="24"/>
        </w:rPr>
        <w:t>n</w:t>
      </w:r>
      <w:r w:rsidRPr="00C77420">
        <w:rPr>
          <w:rFonts w:eastAsiaTheme="minorEastAsia"/>
          <w:sz w:val="24"/>
          <w:szCs w:val="24"/>
        </w:rPr>
        <w:t xml:space="preserve"> los valores de USO DEL </w:t>
      </w:r>
      <w:r w:rsidR="00234777" w:rsidRPr="00C77420">
        <w:rPr>
          <w:rFonts w:eastAsiaTheme="minorEastAsia"/>
          <w:sz w:val="24"/>
          <w:szCs w:val="24"/>
        </w:rPr>
        <w:t>TIEMPO DE OCUPACION EN RADIO Y TV</w:t>
      </w:r>
      <w:r w:rsidRPr="00C77420">
        <w:rPr>
          <w:rFonts w:eastAsiaTheme="minorEastAsia"/>
          <w:sz w:val="24"/>
          <w:szCs w:val="24"/>
        </w:rPr>
        <w:t xml:space="preserve"> (</w:t>
      </w:r>
      <w:r w:rsidR="00234777" w:rsidRPr="00C77420">
        <w:rPr>
          <w:rFonts w:eastAsiaTheme="minorEastAsia"/>
          <w:sz w:val="24"/>
          <w:szCs w:val="24"/>
        </w:rPr>
        <w:t>d</w:t>
      </w:r>
      <w:r w:rsidRPr="00C77420">
        <w:rPr>
          <w:rFonts w:eastAsiaTheme="minorEastAsia"/>
          <w:sz w:val="24"/>
          <w:szCs w:val="24"/>
        </w:rPr>
        <w:t xml:space="preserve">), </w:t>
      </w:r>
      <w:r w:rsidR="00234777" w:rsidRPr="00C77420">
        <w:rPr>
          <w:rFonts w:eastAsiaTheme="minorEastAsia"/>
          <w:sz w:val="24"/>
          <w:szCs w:val="24"/>
        </w:rPr>
        <w:t>NECESIDADES BASICAS INSATISFECHAS</w:t>
      </w:r>
      <w:r w:rsidRPr="00C77420">
        <w:rPr>
          <w:rFonts w:eastAsiaTheme="minorEastAsia"/>
          <w:sz w:val="24"/>
          <w:szCs w:val="24"/>
        </w:rPr>
        <w:t xml:space="preserve"> (</w:t>
      </w:r>
      <w:r w:rsidR="00234777" w:rsidRPr="00C77420">
        <w:rPr>
          <w:rFonts w:eastAsiaTheme="minorEastAsia"/>
          <w:sz w:val="24"/>
          <w:szCs w:val="24"/>
        </w:rPr>
        <w:t>e</w:t>
      </w:r>
      <w:r w:rsidRPr="00C77420">
        <w:rPr>
          <w:rFonts w:eastAsiaTheme="minorEastAsia"/>
          <w:sz w:val="24"/>
          <w:szCs w:val="24"/>
        </w:rPr>
        <w:t xml:space="preserve">) </w:t>
      </w:r>
      <w:r w:rsidR="00234777" w:rsidRPr="00C77420">
        <w:rPr>
          <w:rFonts w:eastAsiaTheme="minorEastAsia"/>
          <w:sz w:val="24"/>
          <w:szCs w:val="24"/>
        </w:rPr>
        <w:t>y DENSIDAD DE ESTACIONES DE RADIO Y TV</w:t>
      </w:r>
      <w:r w:rsidRPr="00C77420">
        <w:rPr>
          <w:rFonts w:eastAsiaTheme="minorEastAsia"/>
          <w:sz w:val="24"/>
          <w:szCs w:val="24"/>
        </w:rPr>
        <w:t xml:space="preserve"> POR HABITANTE</w:t>
      </w:r>
      <w:r w:rsidR="00234777" w:rsidRPr="00C77420">
        <w:rPr>
          <w:rFonts w:eastAsiaTheme="minorEastAsia"/>
          <w:sz w:val="24"/>
          <w:szCs w:val="24"/>
        </w:rPr>
        <w:t xml:space="preserve"> (f</w:t>
      </w:r>
      <w:r w:rsidRPr="00C77420">
        <w:rPr>
          <w:rFonts w:eastAsiaTheme="minorEastAsia"/>
          <w:sz w:val="24"/>
          <w:szCs w:val="24"/>
        </w:rPr>
        <w:t xml:space="preserve">). </w:t>
      </w:r>
    </w:p>
    <w:p w:rsidR="00012C00" w:rsidRPr="00C77420" w:rsidRDefault="00012C00" w:rsidP="00012C00">
      <w:pPr>
        <w:jc w:val="both"/>
        <w:rPr>
          <w:rFonts w:eastAsiaTheme="minorEastAsia"/>
          <w:sz w:val="24"/>
          <w:szCs w:val="24"/>
        </w:rPr>
      </w:pPr>
      <w:r w:rsidRPr="00C77420">
        <w:rPr>
          <w:rFonts w:eastAsiaTheme="minorEastAsia"/>
          <w:sz w:val="24"/>
          <w:szCs w:val="24"/>
        </w:rPr>
        <w:t>Para los parámetros (d y e) fueron obtenidos por la información cantonal de la Encuesta TIC del INEC, y el parámetro (f) es obtenido a partir de los datos de registros administrativos de la ARCOTEL para cada uno de los concesionarios por cantón.</w:t>
      </w:r>
    </w:p>
    <w:p w:rsidR="00197D93" w:rsidRPr="00C77420" w:rsidRDefault="00012C00" w:rsidP="00A578C0">
      <w:pPr>
        <w:jc w:val="both"/>
        <w:rPr>
          <w:sz w:val="24"/>
          <w:szCs w:val="24"/>
        </w:rPr>
      </w:pPr>
      <w:r w:rsidRPr="00C77420">
        <w:rPr>
          <w:sz w:val="24"/>
          <w:szCs w:val="24"/>
        </w:rPr>
        <w:t xml:space="preserve">En la Ecuación </w:t>
      </w:r>
      <w:r w:rsidR="00AE1FFE">
        <w:rPr>
          <w:sz w:val="24"/>
          <w:szCs w:val="24"/>
        </w:rPr>
        <w:t>1</w:t>
      </w:r>
      <w:r w:rsidRPr="00C77420">
        <w:rPr>
          <w:sz w:val="24"/>
          <w:szCs w:val="24"/>
        </w:rPr>
        <w:t xml:space="preserve">, se tiene que α es un Ponderador Socio Territorial, calculado para priorizar y fomentar el despliegue en zonas </w:t>
      </w:r>
      <w:r w:rsidR="00B96300">
        <w:rPr>
          <w:sz w:val="24"/>
          <w:szCs w:val="24"/>
        </w:rPr>
        <w:t xml:space="preserve">de baja densidad </w:t>
      </w:r>
      <w:r w:rsidRPr="00C77420">
        <w:rPr>
          <w:sz w:val="24"/>
          <w:szCs w:val="24"/>
        </w:rPr>
        <w:t>del servicio</w:t>
      </w:r>
      <w:r w:rsidR="00B96300">
        <w:rPr>
          <w:sz w:val="24"/>
          <w:szCs w:val="24"/>
        </w:rPr>
        <w:t>,</w:t>
      </w:r>
      <w:r w:rsidRPr="00C77420">
        <w:rPr>
          <w:sz w:val="24"/>
          <w:szCs w:val="24"/>
        </w:rPr>
        <w:t xml:space="preserve"> tanto de radio como de </w:t>
      </w:r>
      <w:r w:rsidR="00B96300">
        <w:rPr>
          <w:sz w:val="24"/>
          <w:szCs w:val="24"/>
        </w:rPr>
        <w:t>televisión</w:t>
      </w:r>
      <w:r w:rsidRPr="00C77420">
        <w:rPr>
          <w:sz w:val="24"/>
          <w:szCs w:val="24"/>
        </w:rPr>
        <w:t>.</w:t>
      </w:r>
      <w:r w:rsidR="002A0529" w:rsidRPr="00C77420">
        <w:rPr>
          <w:sz w:val="24"/>
          <w:szCs w:val="24"/>
        </w:rPr>
        <w:t xml:space="preserve"> </w:t>
      </w:r>
      <w:r w:rsidR="00B96300">
        <w:rPr>
          <w:sz w:val="24"/>
          <w:szCs w:val="24"/>
        </w:rPr>
        <w:t>Se prioriza</w:t>
      </w:r>
      <w:r w:rsidR="002A0529" w:rsidRPr="00C77420">
        <w:rPr>
          <w:sz w:val="24"/>
          <w:szCs w:val="24"/>
        </w:rPr>
        <w:t xml:space="preserve"> la atención de medios en cantones sin cobertura, </w:t>
      </w:r>
      <w:r w:rsidR="00AE1FFE" w:rsidRPr="00AE1FFE">
        <w:rPr>
          <w:sz w:val="24"/>
          <w:szCs w:val="24"/>
        </w:rPr>
        <w:t>que relaciona los valores de uso d</w:t>
      </w:r>
      <w:r w:rsidR="00E11795">
        <w:rPr>
          <w:sz w:val="24"/>
          <w:szCs w:val="24"/>
        </w:rPr>
        <w:t>el tiempo de ocupación en radio-televisión</w:t>
      </w:r>
      <w:r w:rsidR="00AE1FFE">
        <w:rPr>
          <w:sz w:val="24"/>
          <w:szCs w:val="24"/>
        </w:rPr>
        <w:t xml:space="preserve"> </w:t>
      </w:r>
      <w:r w:rsidR="002A0529" w:rsidRPr="00C77420">
        <w:rPr>
          <w:sz w:val="24"/>
          <w:szCs w:val="24"/>
        </w:rPr>
        <w:t>con índices de pobreza (por NBI) alto</w:t>
      </w:r>
      <w:r w:rsidR="0003573F" w:rsidRPr="00C77420">
        <w:rPr>
          <w:sz w:val="24"/>
          <w:szCs w:val="24"/>
        </w:rPr>
        <w:t>s</w:t>
      </w:r>
      <w:r w:rsidR="002A0529" w:rsidRPr="00C77420">
        <w:rPr>
          <w:sz w:val="24"/>
          <w:szCs w:val="24"/>
        </w:rPr>
        <w:t>.</w:t>
      </w:r>
    </w:p>
    <w:p w:rsidR="00197D93" w:rsidRPr="00C77420" w:rsidRDefault="00B96300" w:rsidP="0003573F">
      <w:pPr>
        <w:jc w:val="both"/>
        <w:rPr>
          <w:sz w:val="24"/>
          <w:szCs w:val="24"/>
        </w:rPr>
      </w:pPr>
      <w:r>
        <w:rPr>
          <w:sz w:val="24"/>
          <w:szCs w:val="24"/>
        </w:rPr>
        <w:t>El método de cálculo utilizado para el factor de priorización socio territorial es e</w:t>
      </w:r>
      <w:r w:rsidR="0003573F" w:rsidRPr="00C77420">
        <w:rPr>
          <w:sz w:val="24"/>
          <w:szCs w:val="24"/>
        </w:rPr>
        <w:t xml:space="preserve">l </w:t>
      </w:r>
      <w:r>
        <w:rPr>
          <w:sz w:val="24"/>
          <w:szCs w:val="24"/>
        </w:rPr>
        <w:t xml:space="preserve">de </w:t>
      </w:r>
      <w:r w:rsidR="0003573F" w:rsidRPr="00C77420">
        <w:rPr>
          <w:sz w:val="24"/>
          <w:szCs w:val="24"/>
        </w:rPr>
        <w:t>Análisis de Componentes Principales (ACP)</w:t>
      </w:r>
      <w:r>
        <w:rPr>
          <w:sz w:val="24"/>
          <w:szCs w:val="24"/>
        </w:rPr>
        <w:t>, el mismo que</w:t>
      </w:r>
      <w:r w:rsidR="0003573F" w:rsidRPr="00C77420">
        <w:rPr>
          <w:sz w:val="24"/>
          <w:szCs w:val="24"/>
        </w:rPr>
        <w:t xml:space="preserve"> fue propuesto por Karl Pearson como parte del análisis de factores,</w:t>
      </w:r>
      <w:r w:rsidR="005223F7">
        <w:rPr>
          <w:sz w:val="24"/>
          <w:szCs w:val="24"/>
        </w:rPr>
        <w:t xml:space="preserve"> </w:t>
      </w:r>
      <w:r w:rsidR="0003573F" w:rsidRPr="00C77420">
        <w:rPr>
          <w:sz w:val="24"/>
          <w:szCs w:val="24"/>
        </w:rPr>
        <w:t>el objetivo es la representación de las medidas numéricas de varias variables en un espacio de pocas dimensiones.</w:t>
      </w:r>
    </w:p>
    <w:p w:rsidR="0003573F" w:rsidRPr="00C77420" w:rsidRDefault="0003573F" w:rsidP="0003573F">
      <w:pPr>
        <w:rPr>
          <w:sz w:val="24"/>
          <w:szCs w:val="24"/>
        </w:rPr>
      </w:pPr>
      <w:r w:rsidRPr="00C77420">
        <w:rPr>
          <w:sz w:val="24"/>
          <w:szCs w:val="24"/>
        </w:rPr>
        <w:t>El proceso para el cálculo de α es el siguiente:</w:t>
      </w:r>
    </w:p>
    <w:p w:rsidR="0003573F" w:rsidRPr="00C77420" w:rsidRDefault="0003573F" w:rsidP="0003573F">
      <w:pPr>
        <w:pStyle w:val="Prrafodelista"/>
        <w:numPr>
          <w:ilvl w:val="0"/>
          <w:numId w:val="7"/>
        </w:numPr>
        <w:rPr>
          <w:sz w:val="24"/>
          <w:szCs w:val="24"/>
        </w:rPr>
      </w:pPr>
      <w:r w:rsidRPr="00C77420">
        <w:rPr>
          <w:sz w:val="24"/>
          <w:szCs w:val="24"/>
        </w:rPr>
        <w:t>Categorización (de 1 a 3) de las variables no homogéneas dimensionalmente (d, e y f)</w:t>
      </w:r>
    </w:p>
    <w:p w:rsidR="0003573F" w:rsidRPr="00C77420" w:rsidRDefault="0003573F" w:rsidP="0003573F">
      <w:pPr>
        <w:pStyle w:val="Prrafodelista"/>
        <w:numPr>
          <w:ilvl w:val="0"/>
          <w:numId w:val="7"/>
        </w:numPr>
        <w:rPr>
          <w:sz w:val="24"/>
          <w:szCs w:val="24"/>
        </w:rPr>
      </w:pPr>
      <w:r w:rsidRPr="00C77420">
        <w:rPr>
          <w:sz w:val="24"/>
          <w:szCs w:val="24"/>
        </w:rPr>
        <w:t xml:space="preserve">Conversión a variables homogéneas </w:t>
      </w:r>
    </w:p>
    <w:p w:rsidR="0003573F" w:rsidRPr="00C77420" w:rsidRDefault="0003573F" w:rsidP="0003573F">
      <w:pPr>
        <w:pStyle w:val="Prrafodelista"/>
        <w:numPr>
          <w:ilvl w:val="0"/>
          <w:numId w:val="7"/>
        </w:numPr>
        <w:rPr>
          <w:sz w:val="24"/>
          <w:szCs w:val="24"/>
        </w:rPr>
      </w:pPr>
      <w:r w:rsidRPr="00C77420">
        <w:rPr>
          <w:sz w:val="24"/>
          <w:szCs w:val="24"/>
        </w:rPr>
        <w:t>Aplicación del ACP, compara en una matriz de covarianza (entre componentes (tendencia multidimensional y variables)</w:t>
      </w:r>
    </w:p>
    <w:p w:rsidR="0003573F" w:rsidRPr="00C77420" w:rsidRDefault="0003573F" w:rsidP="0003573F">
      <w:pPr>
        <w:pStyle w:val="Prrafodelista"/>
        <w:numPr>
          <w:ilvl w:val="0"/>
          <w:numId w:val="7"/>
        </w:numPr>
        <w:rPr>
          <w:sz w:val="24"/>
          <w:szCs w:val="24"/>
        </w:rPr>
      </w:pPr>
      <w:r w:rsidRPr="00C77420">
        <w:rPr>
          <w:sz w:val="24"/>
          <w:szCs w:val="24"/>
        </w:rPr>
        <w:t xml:space="preserve">Conversión de datos discretos a asignación continua </w:t>
      </w:r>
    </w:p>
    <w:p w:rsidR="0003573F" w:rsidRPr="00C77420" w:rsidRDefault="0003573F" w:rsidP="0003573F">
      <w:pPr>
        <w:pStyle w:val="Prrafodelista"/>
        <w:numPr>
          <w:ilvl w:val="0"/>
          <w:numId w:val="7"/>
        </w:numPr>
        <w:rPr>
          <w:sz w:val="24"/>
          <w:szCs w:val="24"/>
        </w:rPr>
      </w:pPr>
      <w:r w:rsidRPr="00C77420">
        <w:rPr>
          <w:sz w:val="24"/>
          <w:szCs w:val="24"/>
        </w:rPr>
        <w:t xml:space="preserve">Representación lineal del componente que menor desviación estándar tiene entre él y los datos de todas las variables: </w:t>
      </w:r>
    </w:p>
    <w:p w:rsidR="0003573F" w:rsidRPr="00C77420" w:rsidRDefault="005223F7" w:rsidP="0003573F">
      <w:pPr>
        <w:rPr>
          <w:sz w:val="24"/>
          <w:szCs w:val="24"/>
        </w:rPr>
      </w:pPr>
      <w:r>
        <w:rPr>
          <w:sz w:val="24"/>
          <w:szCs w:val="24"/>
        </w:rPr>
        <w:t xml:space="preserve">   </w:t>
      </w:r>
      <w:r w:rsidR="0003573F" w:rsidRPr="00C77420">
        <w:rPr>
          <w:sz w:val="24"/>
          <w:szCs w:val="24"/>
        </w:rPr>
        <w:t>Dentro del análisis de la matriz factorial se tiene que:</w:t>
      </w:r>
    </w:p>
    <w:p w:rsidR="0003573F" w:rsidRPr="00C77420" w:rsidRDefault="0003573F" w:rsidP="0003573F">
      <w:pPr>
        <w:pStyle w:val="Prrafodelista"/>
        <w:numPr>
          <w:ilvl w:val="0"/>
          <w:numId w:val="8"/>
        </w:numPr>
        <w:rPr>
          <w:sz w:val="24"/>
          <w:szCs w:val="24"/>
        </w:rPr>
      </w:pPr>
      <w:r w:rsidRPr="00C77420">
        <w:rPr>
          <w:sz w:val="24"/>
          <w:szCs w:val="24"/>
        </w:rPr>
        <w:t>Representa los componentes principales en forma de matriz</w:t>
      </w:r>
    </w:p>
    <w:p w:rsidR="0003573F" w:rsidRPr="00C77420" w:rsidRDefault="0003573F" w:rsidP="0003573F">
      <w:pPr>
        <w:pStyle w:val="Prrafodelista"/>
        <w:numPr>
          <w:ilvl w:val="0"/>
          <w:numId w:val="8"/>
        </w:numPr>
        <w:rPr>
          <w:sz w:val="24"/>
          <w:szCs w:val="24"/>
        </w:rPr>
      </w:pPr>
      <w:r w:rsidRPr="00C77420">
        <w:rPr>
          <w:sz w:val="24"/>
          <w:szCs w:val="24"/>
        </w:rPr>
        <w:lastRenderedPageBreak/>
        <w:t>Cada elemento será los coeficientes factoriales de las variables</w:t>
      </w:r>
    </w:p>
    <w:p w:rsidR="00197D93" w:rsidRPr="00C77420" w:rsidRDefault="0003573F" w:rsidP="0003573F">
      <w:pPr>
        <w:pStyle w:val="Prrafodelista"/>
        <w:numPr>
          <w:ilvl w:val="0"/>
          <w:numId w:val="8"/>
        </w:numPr>
        <w:rPr>
          <w:sz w:val="24"/>
          <w:szCs w:val="24"/>
        </w:rPr>
      </w:pPr>
      <w:r w:rsidRPr="00C77420">
        <w:rPr>
          <w:sz w:val="24"/>
          <w:szCs w:val="24"/>
        </w:rPr>
        <w:t>La matriz tendrá tantas</w:t>
      </w:r>
      <w:r w:rsidR="005223F7">
        <w:rPr>
          <w:sz w:val="24"/>
          <w:szCs w:val="24"/>
        </w:rPr>
        <w:t xml:space="preserve"> </w:t>
      </w:r>
      <w:r w:rsidRPr="00C77420">
        <w:rPr>
          <w:sz w:val="24"/>
          <w:szCs w:val="24"/>
        </w:rPr>
        <w:t>columnas como componentes y filas como variables</w:t>
      </w:r>
    </w:p>
    <w:p w:rsidR="00197D93" w:rsidRPr="00C77420" w:rsidRDefault="0003573F" w:rsidP="0003573F">
      <w:pPr>
        <w:jc w:val="both"/>
        <w:rPr>
          <w:sz w:val="24"/>
          <w:szCs w:val="24"/>
        </w:rPr>
      </w:pPr>
      <w:r w:rsidRPr="00C77420">
        <w:rPr>
          <w:sz w:val="24"/>
          <w:szCs w:val="24"/>
        </w:rPr>
        <w:t xml:space="preserve">Tanto para radio como para TV, se tienen distintos valores para α, los mismos que son agrupados por el método lineal; es así que de esta manera se muestra en la Figura </w:t>
      </w:r>
      <w:r w:rsidR="00B969F1" w:rsidRPr="00C77420">
        <w:rPr>
          <w:sz w:val="24"/>
          <w:szCs w:val="24"/>
        </w:rPr>
        <w:t>8</w:t>
      </w:r>
      <w:r w:rsidRPr="00C77420">
        <w:rPr>
          <w:sz w:val="24"/>
          <w:szCs w:val="24"/>
        </w:rPr>
        <w:t>, la distribución de los cantones para cada valor de α.</w:t>
      </w:r>
      <w:r w:rsidR="00160076" w:rsidRPr="00C77420">
        <w:rPr>
          <w:sz w:val="24"/>
          <w:szCs w:val="24"/>
        </w:rPr>
        <w:t xml:space="preserve"> </w:t>
      </w:r>
    </w:p>
    <w:p w:rsidR="0003573F" w:rsidRDefault="00160076" w:rsidP="0003573F">
      <w:pPr>
        <w:jc w:val="both"/>
        <w:rPr>
          <w:sz w:val="24"/>
          <w:szCs w:val="24"/>
        </w:rPr>
      </w:pPr>
      <w:r w:rsidRPr="00C77420">
        <w:rPr>
          <w:sz w:val="24"/>
          <w:szCs w:val="24"/>
        </w:rPr>
        <w:t xml:space="preserve">Para observar los valores de α por cantón, referirse a la Tabla 1, </w:t>
      </w:r>
      <w:r w:rsidR="00C30D9F" w:rsidRPr="00C77420">
        <w:rPr>
          <w:sz w:val="24"/>
          <w:szCs w:val="24"/>
        </w:rPr>
        <w:t>C</w:t>
      </w:r>
      <w:r w:rsidRPr="00C77420">
        <w:rPr>
          <w:sz w:val="24"/>
          <w:szCs w:val="24"/>
        </w:rPr>
        <w:t>olumna 2</w:t>
      </w:r>
      <w:r w:rsidR="005307CF" w:rsidRPr="00C77420">
        <w:rPr>
          <w:sz w:val="24"/>
          <w:szCs w:val="24"/>
        </w:rPr>
        <w:t xml:space="preserve"> y 3</w:t>
      </w:r>
      <w:r w:rsidRPr="00C77420">
        <w:rPr>
          <w:sz w:val="24"/>
          <w:szCs w:val="24"/>
        </w:rPr>
        <w:t>.</w:t>
      </w:r>
    </w:p>
    <w:p w:rsidR="00CF648C" w:rsidRDefault="00E11795" w:rsidP="0003573F">
      <w:pPr>
        <w:jc w:val="both"/>
        <w:rPr>
          <w:sz w:val="24"/>
          <w:szCs w:val="24"/>
        </w:rPr>
      </w:pPr>
      <w:r>
        <w:rPr>
          <w:sz w:val="24"/>
          <w:szCs w:val="24"/>
        </w:rPr>
        <w:t xml:space="preserve">En la figura 4 puede observarse rangos de los valores de alfa referido tanto para radiodifusión sonora como para televisión. </w:t>
      </w:r>
    </w:p>
    <w:p w:rsidR="00CF648C" w:rsidRDefault="00CF648C" w:rsidP="0003573F">
      <w:pPr>
        <w:jc w:val="both"/>
        <w:rPr>
          <w:sz w:val="24"/>
          <w:szCs w:val="24"/>
        </w:rPr>
      </w:pPr>
    </w:p>
    <w:p w:rsidR="00CF648C" w:rsidRDefault="00CF648C" w:rsidP="0003573F">
      <w:pPr>
        <w:jc w:val="both"/>
        <w:rPr>
          <w:sz w:val="24"/>
          <w:szCs w:val="24"/>
        </w:rPr>
      </w:pPr>
    </w:p>
    <w:p w:rsidR="00CF648C" w:rsidRDefault="00CF648C" w:rsidP="0003573F">
      <w:pPr>
        <w:jc w:val="both"/>
        <w:rPr>
          <w:sz w:val="24"/>
          <w:szCs w:val="24"/>
        </w:rPr>
      </w:pPr>
    </w:p>
    <w:p w:rsidR="00CF648C" w:rsidRDefault="00CF648C" w:rsidP="0003573F">
      <w:pPr>
        <w:jc w:val="both"/>
        <w:rPr>
          <w:sz w:val="24"/>
          <w:szCs w:val="24"/>
        </w:rPr>
      </w:pPr>
    </w:p>
    <w:p w:rsidR="00CF648C" w:rsidRDefault="00CF648C" w:rsidP="0003573F">
      <w:pPr>
        <w:jc w:val="both"/>
        <w:rPr>
          <w:sz w:val="24"/>
          <w:szCs w:val="24"/>
        </w:rPr>
      </w:pPr>
    </w:p>
    <w:p w:rsidR="00CF648C" w:rsidRDefault="00CF648C" w:rsidP="0003573F">
      <w:pPr>
        <w:jc w:val="both"/>
        <w:rPr>
          <w:sz w:val="24"/>
          <w:szCs w:val="24"/>
        </w:rPr>
      </w:pPr>
    </w:p>
    <w:p w:rsidR="00CF648C" w:rsidRDefault="00CF648C" w:rsidP="0003573F">
      <w:pPr>
        <w:jc w:val="both"/>
        <w:rPr>
          <w:sz w:val="24"/>
          <w:szCs w:val="24"/>
        </w:rPr>
      </w:pPr>
    </w:p>
    <w:p w:rsidR="00CF648C" w:rsidRDefault="00CF648C" w:rsidP="0003573F">
      <w:pPr>
        <w:jc w:val="both"/>
        <w:rPr>
          <w:sz w:val="24"/>
          <w:szCs w:val="24"/>
        </w:rPr>
      </w:pPr>
    </w:p>
    <w:p w:rsidR="00CF648C" w:rsidRDefault="00CF648C" w:rsidP="0003573F">
      <w:pPr>
        <w:jc w:val="both"/>
        <w:rPr>
          <w:sz w:val="24"/>
          <w:szCs w:val="24"/>
        </w:rPr>
      </w:pPr>
    </w:p>
    <w:p w:rsidR="00CF648C" w:rsidRDefault="00CF648C" w:rsidP="0003573F">
      <w:pPr>
        <w:jc w:val="both"/>
        <w:rPr>
          <w:sz w:val="24"/>
          <w:szCs w:val="24"/>
        </w:rPr>
      </w:pPr>
    </w:p>
    <w:p w:rsidR="00CF648C" w:rsidRDefault="00CF648C" w:rsidP="0003573F">
      <w:pPr>
        <w:jc w:val="both"/>
        <w:rPr>
          <w:sz w:val="24"/>
          <w:szCs w:val="24"/>
        </w:rPr>
      </w:pPr>
    </w:p>
    <w:p w:rsidR="00CF648C" w:rsidRDefault="00CF648C" w:rsidP="0003573F">
      <w:pPr>
        <w:jc w:val="both"/>
        <w:rPr>
          <w:sz w:val="24"/>
          <w:szCs w:val="24"/>
        </w:rPr>
      </w:pPr>
    </w:p>
    <w:p w:rsidR="00CF648C" w:rsidRDefault="00CF648C" w:rsidP="0003573F">
      <w:pPr>
        <w:jc w:val="both"/>
        <w:rPr>
          <w:sz w:val="24"/>
          <w:szCs w:val="24"/>
        </w:rPr>
      </w:pPr>
    </w:p>
    <w:p w:rsidR="00CF648C" w:rsidRPr="00C77420" w:rsidRDefault="00CF648C" w:rsidP="0003573F">
      <w:pPr>
        <w:jc w:val="both"/>
        <w:rPr>
          <w:sz w:val="24"/>
          <w:szCs w:val="24"/>
        </w:rPr>
      </w:pPr>
    </w:p>
    <w:p w:rsidR="00CC0E52" w:rsidRDefault="00CC0E52" w:rsidP="0003573F">
      <w:pPr>
        <w:jc w:val="center"/>
        <w:rPr>
          <w:sz w:val="24"/>
          <w:szCs w:val="24"/>
        </w:rPr>
      </w:pPr>
    </w:p>
    <w:p w:rsidR="0003573F" w:rsidRPr="00C77420" w:rsidRDefault="00CC0E52" w:rsidP="0003573F">
      <w:pPr>
        <w:jc w:val="center"/>
        <w:rPr>
          <w:sz w:val="24"/>
          <w:szCs w:val="24"/>
        </w:rPr>
      </w:pPr>
      <w:r>
        <w:rPr>
          <w:noProof/>
          <w:lang w:eastAsia="es-EC"/>
        </w:rPr>
        <w:lastRenderedPageBreak/>
        <w:drawing>
          <wp:inline distT="0" distB="0" distL="0" distR="0" wp14:anchorId="5F3B2732" wp14:editId="01BA83A9">
            <wp:extent cx="5591175" cy="16764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3573F" w:rsidRPr="00C77420">
        <w:rPr>
          <w:noProof/>
          <w:sz w:val="24"/>
          <w:szCs w:val="24"/>
          <w:lang w:eastAsia="es-EC"/>
        </w:rPr>
        <w:drawing>
          <wp:inline distT="0" distB="0" distL="0" distR="0" wp14:anchorId="744B3AD8" wp14:editId="051D77B8">
            <wp:extent cx="4914900" cy="1590675"/>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7D93" w:rsidRPr="00C77420" w:rsidRDefault="00CC0E52" w:rsidP="007612EB">
      <w:pPr>
        <w:jc w:val="center"/>
        <w:rPr>
          <w:sz w:val="24"/>
          <w:szCs w:val="24"/>
        </w:rPr>
      </w:pPr>
      <w:r>
        <w:rPr>
          <w:noProof/>
          <w:lang w:eastAsia="es-EC"/>
        </w:rPr>
        <w:drawing>
          <wp:inline distT="0" distB="0" distL="0" distR="0" wp14:anchorId="6F9A8640" wp14:editId="7B016731">
            <wp:extent cx="5612130" cy="1670500"/>
            <wp:effectExtent l="0" t="0" r="0" b="63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3573F" w:rsidRPr="00C77420">
        <w:rPr>
          <w:noProof/>
          <w:sz w:val="24"/>
          <w:szCs w:val="24"/>
          <w:lang w:eastAsia="es-EC"/>
        </w:rPr>
        <w:drawing>
          <wp:inline distT="0" distB="0" distL="0" distR="0" wp14:anchorId="01D6ABEA" wp14:editId="238DE403">
            <wp:extent cx="5248275" cy="1724025"/>
            <wp:effectExtent l="0" t="0" r="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75D0" w:rsidRDefault="007612EB" w:rsidP="00E11795">
      <w:pPr>
        <w:jc w:val="center"/>
        <w:rPr>
          <w:sz w:val="24"/>
          <w:szCs w:val="24"/>
        </w:rPr>
      </w:pPr>
      <w:r w:rsidRPr="00C77420">
        <w:rPr>
          <w:b/>
          <w:sz w:val="24"/>
          <w:szCs w:val="24"/>
        </w:rPr>
        <w:t xml:space="preserve">Figura </w:t>
      </w:r>
      <w:r w:rsidR="00E11795">
        <w:rPr>
          <w:b/>
          <w:sz w:val="24"/>
          <w:szCs w:val="24"/>
        </w:rPr>
        <w:t>4</w:t>
      </w:r>
      <w:r w:rsidRPr="00C77420">
        <w:rPr>
          <w:b/>
          <w:sz w:val="24"/>
          <w:szCs w:val="24"/>
        </w:rPr>
        <w:t>.</w:t>
      </w:r>
      <w:r w:rsidRPr="00C77420">
        <w:rPr>
          <w:sz w:val="24"/>
          <w:szCs w:val="24"/>
        </w:rPr>
        <w:t xml:space="preserve"> Distribución de α (radio y TV) por cantones</w:t>
      </w:r>
    </w:p>
    <w:p w:rsidR="00633FAC" w:rsidRPr="00C77420" w:rsidRDefault="00F975D0" w:rsidP="00E11795">
      <w:pPr>
        <w:rPr>
          <w:b/>
          <w:sz w:val="24"/>
          <w:szCs w:val="24"/>
        </w:rPr>
      </w:pPr>
      <w:r>
        <w:rPr>
          <w:sz w:val="24"/>
          <w:szCs w:val="24"/>
        </w:rPr>
        <w:br w:type="page"/>
      </w:r>
      <w:r w:rsidR="00B100AF" w:rsidRPr="00C77420">
        <w:rPr>
          <w:b/>
          <w:sz w:val="24"/>
          <w:szCs w:val="24"/>
        </w:rPr>
        <w:lastRenderedPageBreak/>
        <w:t xml:space="preserve">TABLA 1 “ANEXOS DE LOS VALORES DE </w:t>
      </w:r>
      <w:r w:rsidRPr="00C77420">
        <w:rPr>
          <w:b/>
          <w:sz w:val="24"/>
          <w:szCs w:val="24"/>
        </w:rPr>
        <w:t>PRIORIZACIÓN</w:t>
      </w:r>
      <w:r w:rsidR="00B100AF" w:rsidRPr="00C77420">
        <w:rPr>
          <w:b/>
          <w:sz w:val="24"/>
          <w:szCs w:val="24"/>
        </w:rPr>
        <w:t xml:space="preserve"> POR SERVICIO Y CANTON”</w:t>
      </w:r>
    </w:p>
    <w:tbl>
      <w:tblPr>
        <w:tblStyle w:val="Tabladecuadrcula4-nfasis1"/>
        <w:tblW w:w="8489" w:type="dxa"/>
        <w:jc w:val="center"/>
        <w:tblLook w:val="04A0" w:firstRow="1" w:lastRow="0" w:firstColumn="1" w:lastColumn="0" w:noHBand="0" w:noVBand="1"/>
      </w:tblPr>
      <w:tblGrid>
        <w:gridCol w:w="2828"/>
        <w:gridCol w:w="3391"/>
        <w:gridCol w:w="1025"/>
        <w:gridCol w:w="1245"/>
      </w:tblGrid>
      <w:tr w:rsidR="006D4A2B" w:rsidTr="006D4A2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noWrap/>
            <w:hideMark/>
          </w:tcPr>
          <w:p w:rsidR="006D4A2B" w:rsidRDefault="006D4A2B">
            <w:pPr>
              <w:jc w:val="center"/>
              <w:rPr>
                <w:rFonts w:cs="Arial"/>
                <w:color w:val="auto"/>
                <w:lang w:eastAsia="es-EC"/>
              </w:rPr>
            </w:pPr>
            <w:r>
              <w:rPr>
                <w:rFonts w:cs="Arial"/>
                <w:color w:val="auto"/>
                <w:lang w:eastAsia="es-EC"/>
              </w:rPr>
              <w:t>PROVINCIA</w:t>
            </w:r>
          </w:p>
        </w:tc>
        <w:tc>
          <w:tcPr>
            <w:tcW w:w="3391" w:type="dxa"/>
            <w:noWrap/>
            <w:hideMark/>
          </w:tcPr>
          <w:p w:rsidR="006D4A2B" w:rsidRDefault="006D4A2B">
            <w:pPr>
              <w:jc w:val="center"/>
              <w:cnfStyle w:val="100000000000" w:firstRow="1" w:lastRow="0" w:firstColumn="0" w:lastColumn="0" w:oddVBand="0" w:evenVBand="0" w:oddHBand="0" w:evenHBand="0" w:firstRowFirstColumn="0" w:firstRowLastColumn="0" w:lastRowFirstColumn="0" w:lastRowLastColumn="0"/>
              <w:rPr>
                <w:rFonts w:cs="Arial"/>
                <w:color w:val="auto"/>
                <w:lang w:eastAsia="es-EC"/>
              </w:rPr>
            </w:pPr>
            <w:r>
              <w:rPr>
                <w:rFonts w:cs="Arial"/>
                <w:color w:val="auto"/>
                <w:lang w:eastAsia="es-EC"/>
              </w:rPr>
              <w:t xml:space="preserve">CANTON </w:t>
            </w:r>
          </w:p>
        </w:tc>
        <w:tc>
          <w:tcPr>
            <w:tcW w:w="1025" w:type="dxa"/>
            <w:noWrap/>
            <w:hideMark/>
          </w:tcPr>
          <w:p w:rsidR="006D4A2B" w:rsidRDefault="006D4A2B">
            <w:pPr>
              <w:jc w:val="center"/>
              <w:cnfStyle w:val="100000000000" w:firstRow="1" w:lastRow="0" w:firstColumn="0" w:lastColumn="0" w:oddVBand="0" w:evenVBand="0" w:oddHBand="0" w:evenHBand="0" w:firstRowFirstColumn="0" w:firstRowLastColumn="0" w:lastRowFirstColumn="0" w:lastRowLastColumn="0"/>
              <w:rPr>
                <w:rFonts w:cs="Arial"/>
                <w:color w:val="auto"/>
                <w:lang w:eastAsia="es-EC"/>
              </w:rPr>
            </w:pPr>
            <w:r>
              <w:rPr>
                <w:rFonts w:cs="Arial"/>
                <w:color w:val="auto"/>
                <w:lang w:eastAsia="es-EC"/>
              </w:rPr>
              <w:t>a2 (TV)</w:t>
            </w:r>
          </w:p>
        </w:tc>
        <w:tc>
          <w:tcPr>
            <w:tcW w:w="1245" w:type="dxa"/>
            <w:noWrap/>
            <w:hideMark/>
          </w:tcPr>
          <w:p w:rsidR="006D4A2B" w:rsidRDefault="006D4A2B">
            <w:pPr>
              <w:jc w:val="center"/>
              <w:cnfStyle w:val="100000000000" w:firstRow="1" w:lastRow="0" w:firstColumn="0" w:lastColumn="0" w:oddVBand="0" w:evenVBand="0" w:oddHBand="0" w:evenHBand="0" w:firstRowFirstColumn="0" w:firstRowLastColumn="0" w:lastRowFirstColumn="0" w:lastRowLastColumn="0"/>
              <w:rPr>
                <w:rFonts w:cs="Arial"/>
                <w:color w:val="auto"/>
                <w:lang w:eastAsia="es-EC"/>
              </w:rPr>
            </w:pPr>
            <w:r>
              <w:rPr>
                <w:rFonts w:cs="Arial"/>
                <w:color w:val="auto"/>
                <w:lang w:eastAsia="es-EC"/>
              </w:rPr>
              <w:t>a1 (Radio)</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AZUAY</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CUENCA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0.91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0.98</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AZUAY</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GIRON</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AZUAY</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GUALACEO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0.86</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AZUAY</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NABON</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AZUAY</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PAUTE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0.86</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AZUAY</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PUCARA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AZUAY</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SAN FERNANDO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AZUAY</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SANTA ISABEL</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AZUAY</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SIGSIG</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AZUAY</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OÑA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AZUAY</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CHORDELEG</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AZUAY</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EL PAN</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AZUAY</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SEVILLA DE ORO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AZUAY</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GUACHAPALA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AZUAY</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CAMILO PONCE ENRIQUEZ</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BOLIVAR</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GUARANDA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0.91</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BOLIVAR</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CHILLANES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BOLIVAR</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CHIMBO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BOLIVAR</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ECHEANDIA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BOLIVAR</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SAN MIGUEL</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BOLIVAR</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 xml:space="preserve">CALUMA </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BOLIVAR</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LAS NAVES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CAÑAR</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AZOGUES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0.86</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CAÑAR</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BIBLIAN</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CAÑAR</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CAÑAR</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0.86</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CAÑAR</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LA TRONCAL</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0.86</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CAÑAR</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 xml:space="preserve">EL TAMBO </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CAÑAR</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DELEG</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CAÑAR</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SUSCAL</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CARCHI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TULCAN</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0.88</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CARCHI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BOLIVAR</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CARCHI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ESPEJO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CARCHI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MIRA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CARCHI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MONTUFAR</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lastRenderedPageBreak/>
              <w:t>CARCHI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SAN PEDRO DE HUACA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COTOPAXI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LATACUNGA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0.86</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COTOPAXI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LA MANA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0.86</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COTOPAXI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PANGUA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COTOPAXI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PUJILI</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0.86</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COTOPAXI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SALCEDO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COTOPAXI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SAQUISILI</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COTOPAXI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SIGCHOS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CHIMBORAZO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RIOBAMBA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0.91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0.88</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CHIMBORAZO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ALAUSI</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CHIMBORAZO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COLTA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CHIMBORAZO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CHAMBO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CHIMBORAZO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CHUNCHI</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CHIMBORAZO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GUAMOTE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CHIMBORAZO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GUANO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CHIMBORAZO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PALLATANGA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CHIMBORAZO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PENIPE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CHIMBORAZO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CUMANDA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EL ORO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MACHALA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0.91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0.88</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EL ORO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ARENILLAS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EL ORO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ATAHUALPA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EL ORO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BALSAS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EL ORO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CHILLA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EL ORO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EL GUABO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EL ORO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HUAQUILLAS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EL ORO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MARCABELI</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EL ORO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PASAJE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0.86</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EL ORO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PIÑAS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EL ORO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PORTOVELO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EL ORO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SANTA ROSA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0.86</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EL ORO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ZARUMA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EL ORO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LAS LAJAS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ESMERALDAS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ESMERALDAS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0.98</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ESMERALDAS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ELOY ALFARO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ESMERALDAS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MUISNE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ESMERALDAS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QUININDE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0.91</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ESMERALDAS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SAN LORENZO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0.86</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lastRenderedPageBreak/>
              <w:t>ESMERALDAS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ATACAMES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0.88</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ESMERALDAS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RIOVERDE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ESMERALDAS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LA CONCORDIA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0.88</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GUAYAQUIL</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0.98</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ALFREDO BAQUERIZO MORENO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BALAO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BALZAR</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0.88</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COLIMES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DAULE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0.86</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DURAN</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0.88</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EMPALME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EL TRIUNFO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MILAGRO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0.91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0.86</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NARANJAL</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0.86</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NARANJITO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PALESTINA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PEDRO CARBO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SAMBORONDON</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0.86</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SANTA LUCIA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SALITRE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YAGUACHI</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PLAYAS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SIMON BOLIVAR</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CORONEL MARCELINO MARIDUEÑA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LOMAS DE SARGENTILLO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NOBOL</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GENERAL ANTONIO ELIZALDE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GUAYAS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 xml:space="preserve">ISIDRO AYORA </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IMBABURA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IBARRA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0.91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0.88</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IMBABURA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ANTONIO ANTE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IMBABURA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COTACACHI</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IMBABURA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OTAVALO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0.86</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IMBABURA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PIMAMPIRO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IMBABURA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URCUQUI</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LOJA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0.88</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CALVAS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lastRenderedPageBreak/>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CATAMAYO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CELICA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CHAGUARPAMBA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ESPINDOLA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GONZANAMA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MACARA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PALTAS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PUYANGO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SARAGURO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SOZORANGA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ZAPOTILLO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PINDAL</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QUILANGA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LOJA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OLMEDO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LOS RIOS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BABAHOYO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0.91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0.86</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LOS RIOS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BABA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LOS RIOS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MONTALVO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LOS RIOS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PUEBLOVIEJO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LOS RIOS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QUEVEDO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0.91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0.86</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LOS RIOS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URDANETA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LOS RIOS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VENTANAS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0.86</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LOS RIOS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VINCES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LOS RIOS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PALENQUE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LOS RIOS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BUENA FE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0.86</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LOS RIOS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VALENCIA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LOS RIOS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MOCACHE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LOS RIOS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QUINSALOMA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PORTOVIEJO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0.88</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BOLIVAR</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CHONE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0.86</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EL CARMEN</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0.88</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FLAVIO ALFARO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JIPIJAPA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JUNIN</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MANTA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0.88</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MONTECRISTI</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PAJAN</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lastRenderedPageBreak/>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PICHINCHA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ROCAFUERTE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SANTA ANA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SUCRE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TOSAGUA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24 DE MAYO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PEDERNALES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OLMEDO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PUERTO LOPEZ</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JAMA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JARAMIJO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MANABI</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SAN VICENTE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MORONA SANTIAGO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MORONA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MORONA SANTIAGO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GUALAQUIZA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MORONA SANTIAGO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LIMON INDANZA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MORONA SANTIAGO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PALORA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MORONA SANTIAGO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SANTIAGO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MORONA SANTIAGO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SUCUA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MORONA SANTIAGO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HUAMBOYA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MORONA SANTIAGO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 xml:space="preserve">SAN JUAN BOSCO </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MORONA SANTIAGO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 xml:space="preserve">TAISHA </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MORONA SANTIAGO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 xml:space="preserve">LOGROÑO </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MORONA SANTIAGO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PABLO SEXTO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MORONA SANTIAGO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CANTON TIWINTZA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NAPO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TENA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0.88</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NAPO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ARCHIDONA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NAPO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EL CHACO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NAPO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QUIJOS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NAPO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CARLOS JULIO AROSEMENA TOLA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PASTAZA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PASTAZA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PASTAZA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MERA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PASTAZA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SANTA CLARA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PASTAZA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ARAJUNO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PICHINCHA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QUITO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0.91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0.98</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PICHINCHA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CAYAMBE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0.86</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PICHINCHA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MEJIA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0.88</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PICHINCHA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PEDRO MONCAYO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lastRenderedPageBreak/>
              <w:t>PICHINCHA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RUMIÑAHUI</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0.88</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PICHINCHA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SAN MIGUEL DE LOS BANCOS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PICHINCHA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PEDRO VICENTE MALDONADO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PICHINCHA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PUERTO QUITO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TUNGURAHUA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AMBATO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0.91</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TUNGURAHUA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BAÑOS DE AGUA SANTA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TUNGURAHUA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CEVALLOS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TUNGURAHUA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MOCHA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TUNGURAHUA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PATATE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TUNGURAHUA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QUERO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TUNGURAHUA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PELILEO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TUNGURAHUA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PILLARO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TUNGURAHUA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TISALEO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ZAMORA CHINCHIPE</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ZAMORA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ZAMORA CHINCHIPE</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CHINCHIPE</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ZAMORA CHINCHIPE</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NANGARITZA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ZAMORA CHINCHIPE</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YACUAMBI</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ZAMORA CHINCHIPE</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YANTZAZA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0.65</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ZAMORA CHINCHIPE</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EL PANGUI</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ZAMORA CHINCHIPE</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CENTINELA DEL CONDOR</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ZAMORA CHINCHIPE</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PALANDA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ZAMORA CHINCHIPE</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 xml:space="preserve">PAQUISHA </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GALAPAGOS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SAN CRISTOBAL</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GALAPAGOS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ISABELA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GALAPAGOS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SANTA CRUZ</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SUCUMBIOS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LAGO AGRIO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0.86</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SUCUMBIOS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GONZALO PIZARRO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SUCUMBIOS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PUTUMAYO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SUCUMBIOS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SHUSHUFINDI</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SUCUMBIOS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SUCUMBIOS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SUCUMBIOS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CASCALES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0.12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SUCUMBIOS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CUYABENO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ORELLANA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ORELLANA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ORELLANA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AGUARICO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ORELLANA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LA JOYA DE LOS SACHAS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0.65</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ORELLANA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LORETO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SANTO DOMINGO</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SANTO DOMINGO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0.91</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lastRenderedPageBreak/>
              <w:t>SANTA ELENA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SANTA ELENA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0.69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0.88</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SANTA ELENA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LA LIBERTAD</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0.88</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SANTA ELENA</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SALINAS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0.82</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0.79</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ZONAS NO DELIMITADAS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EL PIEDRERO</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0.50</w:t>
            </w:r>
          </w:p>
        </w:tc>
      </w:tr>
      <w:tr w:rsidR="006D4A2B" w:rsidTr="006D4A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ZONAS NO DELIMITADAS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LAS GOLONDRINAS</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0.09</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100000" w:firstRow="0" w:lastRow="0" w:firstColumn="0" w:lastColumn="0" w:oddVBand="0" w:evenVBand="0" w:oddHBand="1" w:evenHBand="0" w:firstRowFirstColumn="0" w:firstRowLastColumn="0" w:lastRowFirstColumn="0" w:lastRowLastColumn="0"/>
              <w:rPr>
                <w:rFonts w:cs="Arial"/>
                <w:lang w:eastAsia="es-EC"/>
              </w:rPr>
            </w:pPr>
            <w:r>
              <w:rPr>
                <w:rFonts w:cs="Arial"/>
                <w:lang w:eastAsia="es-EC"/>
              </w:rPr>
              <w:t>0.50</w:t>
            </w:r>
          </w:p>
        </w:tc>
      </w:tr>
      <w:tr w:rsidR="006D4A2B" w:rsidTr="006D4A2B">
        <w:trPr>
          <w:trHeight w:val="300"/>
          <w:jc w:val="center"/>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9CC2E5"/>
              <w:left w:val="single" w:sz="4" w:space="0" w:color="9CC2E5"/>
              <w:bottom w:val="single" w:sz="4" w:space="0" w:color="9CC2E5"/>
              <w:right w:val="single" w:sz="4" w:space="0" w:color="9CC2E5"/>
            </w:tcBorders>
            <w:noWrap/>
            <w:hideMark/>
          </w:tcPr>
          <w:p w:rsidR="006D4A2B" w:rsidRDefault="006D4A2B">
            <w:pPr>
              <w:rPr>
                <w:rFonts w:cs="Arial"/>
                <w:lang w:eastAsia="es-EC"/>
              </w:rPr>
            </w:pPr>
            <w:r>
              <w:rPr>
                <w:rFonts w:cs="Arial"/>
                <w:lang w:eastAsia="es-EC"/>
              </w:rPr>
              <w:t>ZONAS NO DELIMITADAS</w:t>
            </w:r>
          </w:p>
        </w:tc>
        <w:tc>
          <w:tcPr>
            <w:tcW w:w="3391" w:type="dxa"/>
            <w:tcBorders>
              <w:top w:val="single" w:sz="4" w:space="0" w:color="9CC2E5"/>
              <w:left w:val="single" w:sz="4" w:space="0" w:color="9CC2E5"/>
              <w:bottom w:val="single" w:sz="4" w:space="0" w:color="9CC2E5"/>
              <w:right w:val="single" w:sz="4" w:space="0" w:color="9CC2E5"/>
            </w:tcBorders>
            <w:noWrap/>
            <w:hideMark/>
          </w:tcPr>
          <w:p w:rsidR="006D4A2B" w:rsidRDefault="006D4A2B">
            <w:pPr>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MANGA DEL CURA</w:t>
            </w:r>
          </w:p>
        </w:tc>
        <w:tc>
          <w:tcPr>
            <w:tcW w:w="102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0.21</w:t>
            </w:r>
          </w:p>
        </w:tc>
        <w:tc>
          <w:tcPr>
            <w:tcW w:w="1245" w:type="dxa"/>
            <w:tcBorders>
              <w:top w:val="single" w:sz="4" w:space="0" w:color="9CC2E5"/>
              <w:left w:val="single" w:sz="4" w:space="0" w:color="9CC2E5"/>
              <w:bottom w:val="single" w:sz="4" w:space="0" w:color="9CC2E5"/>
              <w:right w:val="single" w:sz="4" w:space="0" w:color="9CC2E5"/>
            </w:tcBorders>
            <w:noWrap/>
            <w:hideMark/>
          </w:tcPr>
          <w:p w:rsidR="006D4A2B" w:rsidRDefault="006D4A2B">
            <w:pPr>
              <w:jc w:val="right"/>
              <w:cnfStyle w:val="000000000000" w:firstRow="0" w:lastRow="0" w:firstColumn="0" w:lastColumn="0" w:oddVBand="0" w:evenVBand="0" w:oddHBand="0" w:evenHBand="0" w:firstRowFirstColumn="0" w:firstRowLastColumn="0" w:lastRowFirstColumn="0" w:lastRowLastColumn="0"/>
              <w:rPr>
                <w:rFonts w:cs="Arial"/>
                <w:lang w:eastAsia="es-EC"/>
              </w:rPr>
            </w:pPr>
            <w:r>
              <w:rPr>
                <w:rFonts w:cs="Arial"/>
                <w:lang w:eastAsia="es-EC"/>
              </w:rPr>
              <w:t>0.79</w:t>
            </w:r>
          </w:p>
        </w:tc>
      </w:tr>
    </w:tbl>
    <w:p w:rsidR="00633FAC" w:rsidRPr="00C77420" w:rsidRDefault="00633FAC">
      <w:pPr>
        <w:rPr>
          <w:sz w:val="24"/>
          <w:szCs w:val="24"/>
        </w:rPr>
      </w:pPr>
    </w:p>
    <w:p w:rsidR="00633FAC" w:rsidRPr="00C77420" w:rsidRDefault="00633FAC">
      <w:pPr>
        <w:rPr>
          <w:sz w:val="24"/>
          <w:szCs w:val="24"/>
        </w:rPr>
      </w:pPr>
    </w:p>
    <w:p w:rsidR="00633FAC" w:rsidRPr="00C77420" w:rsidRDefault="00633FAC">
      <w:pPr>
        <w:rPr>
          <w:sz w:val="24"/>
          <w:szCs w:val="24"/>
        </w:rPr>
      </w:pPr>
    </w:p>
    <w:p w:rsidR="00633FAC" w:rsidRPr="00C77420" w:rsidRDefault="00633FAC">
      <w:pPr>
        <w:rPr>
          <w:sz w:val="24"/>
          <w:szCs w:val="24"/>
        </w:rPr>
      </w:pPr>
    </w:p>
    <w:p w:rsidR="00633FAC" w:rsidRPr="00C77420" w:rsidRDefault="00633FAC">
      <w:pPr>
        <w:rPr>
          <w:sz w:val="24"/>
          <w:szCs w:val="24"/>
        </w:rPr>
      </w:pPr>
    </w:p>
    <w:p w:rsidR="00633FAC" w:rsidRPr="00C77420" w:rsidRDefault="00633FAC">
      <w:pPr>
        <w:rPr>
          <w:sz w:val="24"/>
          <w:szCs w:val="24"/>
        </w:rPr>
      </w:pPr>
    </w:p>
    <w:p w:rsidR="00633FAC" w:rsidRPr="00C77420" w:rsidRDefault="00633FAC">
      <w:pPr>
        <w:rPr>
          <w:sz w:val="24"/>
          <w:szCs w:val="24"/>
        </w:rPr>
      </w:pPr>
    </w:p>
    <w:p w:rsidR="006D4A2B" w:rsidRDefault="006D4A2B" w:rsidP="00520532">
      <w:pPr>
        <w:jc w:val="center"/>
        <w:rPr>
          <w:sz w:val="24"/>
          <w:szCs w:val="24"/>
        </w:rPr>
      </w:pPr>
    </w:p>
    <w:p w:rsidR="006D4A2B" w:rsidRDefault="006D4A2B" w:rsidP="00520532">
      <w:pPr>
        <w:jc w:val="center"/>
        <w:rPr>
          <w:sz w:val="24"/>
          <w:szCs w:val="24"/>
        </w:rPr>
      </w:pPr>
    </w:p>
    <w:p w:rsidR="006D4A2B" w:rsidRDefault="006D4A2B" w:rsidP="00520532">
      <w:pPr>
        <w:jc w:val="center"/>
        <w:rPr>
          <w:sz w:val="24"/>
          <w:szCs w:val="24"/>
        </w:rPr>
      </w:pPr>
    </w:p>
    <w:p w:rsidR="006D4A2B" w:rsidRDefault="006D4A2B" w:rsidP="00520532">
      <w:pPr>
        <w:jc w:val="center"/>
        <w:rPr>
          <w:sz w:val="24"/>
          <w:szCs w:val="24"/>
        </w:rPr>
      </w:pPr>
    </w:p>
    <w:p w:rsidR="006D4A2B" w:rsidRDefault="006D4A2B" w:rsidP="00520532">
      <w:pPr>
        <w:jc w:val="center"/>
        <w:rPr>
          <w:sz w:val="24"/>
          <w:szCs w:val="24"/>
        </w:rPr>
      </w:pPr>
    </w:p>
    <w:p w:rsidR="006D4A2B" w:rsidRDefault="006D4A2B" w:rsidP="00520532">
      <w:pPr>
        <w:jc w:val="center"/>
        <w:rPr>
          <w:sz w:val="24"/>
          <w:szCs w:val="24"/>
        </w:rPr>
      </w:pPr>
    </w:p>
    <w:p w:rsidR="006D4A2B" w:rsidRDefault="006D4A2B" w:rsidP="00520532">
      <w:pPr>
        <w:jc w:val="center"/>
        <w:rPr>
          <w:sz w:val="24"/>
          <w:szCs w:val="24"/>
        </w:rPr>
      </w:pPr>
    </w:p>
    <w:p w:rsidR="006D4A2B" w:rsidRDefault="006D4A2B" w:rsidP="00520532">
      <w:pPr>
        <w:jc w:val="center"/>
        <w:rPr>
          <w:sz w:val="24"/>
          <w:szCs w:val="24"/>
        </w:rPr>
      </w:pPr>
    </w:p>
    <w:p w:rsidR="006D4A2B" w:rsidRDefault="006D4A2B" w:rsidP="00520532">
      <w:pPr>
        <w:jc w:val="center"/>
        <w:rPr>
          <w:sz w:val="24"/>
          <w:szCs w:val="24"/>
        </w:rPr>
      </w:pPr>
    </w:p>
    <w:p w:rsidR="006D4A2B" w:rsidRDefault="006D4A2B" w:rsidP="00520532">
      <w:pPr>
        <w:jc w:val="center"/>
        <w:rPr>
          <w:sz w:val="24"/>
          <w:szCs w:val="24"/>
        </w:rPr>
      </w:pPr>
    </w:p>
    <w:p w:rsidR="006D4A2B" w:rsidRDefault="006D4A2B" w:rsidP="00520532">
      <w:pPr>
        <w:jc w:val="center"/>
        <w:rPr>
          <w:sz w:val="24"/>
          <w:szCs w:val="24"/>
        </w:rPr>
      </w:pPr>
    </w:p>
    <w:p w:rsidR="00520532" w:rsidRPr="00C77420" w:rsidRDefault="00520532" w:rsidP="00520532">
      <w:pPr>
        <w:jc w:val="center"/>
        <w:rPr>
          <w:b/>
          <w:sz w:val="24"/>
          <w:szCs w:val="24"/>
        </w:rPr>
      </w:pPr>
      <w:r w:rsidRPr="00C77420">
        <w:rPr>
          <w:b/>
          <w:sz w:val="24"/>
          <w:szCs w:val="24"/>
        </w:rPr>
        <w:lastRenderedPageBreak/>
        <w:t xml:space="preserve">ANEXO </w:t>
      </w:r>
      <w:r>
        <w:rPr>
          <w:b/>
          <w:sz w:val="24"/>
          <w:szCs w:val="24"/>
        </w:rPr>
        <w:t>2 Determinación de porcentaje de la constante “k”</w:t>
      </w:r>
    </w:p>
    <w:p w:rsidR="00520532" w:rsidRDefault="00183D7F" w:rsidP="00183D7F">
      <w:pPr>
        <w:jc w:val="both"/>
        <w:rPr>
          <w:rFonts w:cs="Calibri"/>
          <w:bCs/>
          <w:sz w:val="24"/>
          <w:szCs w:val="24"/>
        </w:rPr>
      </w:pPr>
      <w:r>
        <w:rPr>
          <w:rFonts w:cs="Calibri"/>
          <w:bCs/>
          <w:sz w:val="24"/>
          <w:szCs w:val="24"/>
        </w:rPr>
        <w:t>La constante “k” está determinada como una constante que representa un porcentaje de los ingresos o u</w:t>
      </w:r>
      <w:r w:rsidRPr="00AF7B70">
        <w:rPr>
          <w:rFonts w:cs="Calibri"/>
          <w:bCs/>
          <w:sz w:val="24"/>
          <w:szCs w:val="24"/>
        </w:rPr>
        <w:t>tilidad razonable sobre los ingresos que el Estado estima por concepto de utilización del espectro radioeléctrico</w:t>
      </w:r>
      <w:r>
        <w:rPr>
          <w:rFonts w:cs="Calibri"/>
          <w:bCs/>
          <w:sz w:val="24"/>
          <w:szCs w:val="24"/>
        </w:rPr>
        <w:t xml:space="preserve"> tanto para la industria de telecomunicaciones como para la de radiodifusión.</w:t>
      </w:r>
    </w:p>
    <w:p w:rsidR="00183D7F" w:rsidRDefault="00183D7F" w:rsidP="00183D7F">
      <w:pPr>
        <w:jc w:val="both"/>
        <w:rPr>
          <w:sz w:val="24"/>
          <w:szCs w:val="24"/>
        </w:rPr>
      </w:pPr>
      <w:r>
        <w:rPr>
          <w:rFonts w:cs="Calibri"/>
          <w:bCs/>
          <w:sz w:val="24"/>
          <w:szCs w:val="24"/>
        </w:rPr>
        <w:t>El argumento económico que se determina está fundamentado mediante el Costo Medio Ponderado del Capital (WACC por sus siglas en ingles), el cual está relacionada análogamente como la tasa de retorno sobre la inversión del capital en alguna industria. Es decir, es la tasa (o también llamado costo de oportunidad) a la cual el inversionista de la industria espera que tenga un retorno razonable.</w:t>
      </w:r>
    </w:p>
    <w:p w:rsidR="008B1465" w:rsidRPr="007E2B90" w:rsidRDefault="008B1465" w:rsidP="008B1465">
      <w:pPr>
        <w:ind w:right="139"/>
        <w:jc w:val="both"/>
        <w:rPr>
          <w:rFonts w:cs="Arial"/>
          <w:b/>
          <w:lang w:val="en-US"/>
        </w:rPr>
      </w:pPr>
      <w:r w:rsidRPr="007E2B90">
        <w:rPr>
          <w:rFonts w:cs="Arial"/>
          <w:b/>
          <w:lang w:val="en-US"/>
        </w:rPr>
        <w:t xml:space="preserve">WACC </w:t>
      </w:r>
      <w:r w:rsidRPr="007E2B90">
        <w:rPr>
          <w:rFonts w:cs="Arial"/>
          <w:lang w:val="en-US"/>
        </w:rPr>
        <w:t>(Weighted Average Cost of Capital)</w:t>
      </w:r>
    </w:p>
    <w:p w:rsidR="008B1465" w:rsidRPr="00183D7F" w:rsidRDefault="008B1465" w:rsidP="00183D7F">
      <w:pPr>
        <w:jc w:val="both"/>
        <w:rPr>
          <w:rFonts w:cs="Calibri"/>
          <w:bCs/>
          <w:sz w:val="24"/>
          <w:szCs w:val="24"/>
        </w:rPr>
      </w:pPr>
      <w:r w:rsidRPr="00183D7F">
        <w:rPr>
          <w:rFonts w:cs="Calibri"/>
          <w:bCs/>
          <w:sz w:val="24"/>
          <w:szCs w:val="24"/>
        </w:rPr>
        <w:t xml:space="preserve">El WACC (costo promedio ponderado del capital), es una tasa que mide, en porcentaje, el costo de capital de un inversionista, entendido éste como una media ponderada entre la proporción de recursos propios y la proporción de recursos ajenos (deuda) con los que se financiaría la inversión. Normalmente, el WACC se lo utiliza como como una tasa de descuento para establecer si los flujos futuros que generaría la inversión (una vez descontados por el WACC) harían o no rentable a un negocio. </w:t>
      </w:r>
    </w:p>
    <w:p w:rsidR="008B1465" w:rsidRPr="00183D7F" w:rsidRDefault="008B1465" w:rsidP="00183D7F">
      <w:pPr>
        <w:jc w:val="both"/>
        <w:rPr>
          <w:rFonts w:cs="Calibri"/>
          <w:bCs/>
          <w:sz w:val="24"/>
          <w:szCs w:val="24"/>
        </w:rPr>
      </w:pPr>
      <w:r w:rsidRPr="00183D7F">
        <w:rPr>
          <w:rFonts w:cs="Calibri"/>
          <w:bCs/>
          <w:sz w:val="24"/>
          <w:szCs w:val="24"/>
        </w:rPr>
        <w:t>En mercados en donde el capital opera en competencia, existe una demanda y una oferta de capital.  Los oferentes de capital buscan el mayor retorno posible a sus inversiones, mientras que los agentes que buscan dicho capital deben estar dispuestos a pagar un retorno para poder atraer dicho capital.</w:t>
      </w:r>
    </w:p>
    <w:p w:rsidR="008B1465" w:rsidRPr="00183D7F" w:rsidRDefault="008B1465" w:rsidP="00183D7F">
      <w:pPr>
        <w:jc w:val="both"/>
        <w:rPr>
          <w:rFonts w:cs="Calibri"/>
          <w:bCs/>
          <w:sz w:val="24"/>
          <w:szCs w:val="24"/>
        </w:rPr>
      </w:pPr>
      <w:r w:rsidRPr="00183D7F">
        <w:rPr>
          <w:rFonts w:cs="Calibri"/>
          <w:bCs/>
          <w:sz w:val="24"/>
          <w:szCs w:val="24"/>
        </w:rPr>
        <w:t xml:space="preserve">Como regla general, para que un inversionista coloque su dinero en un determinado proyecto, el mismo deberá ofrecer como mínimo el retorno que el inversionista esperaría recibir si coloca el dinero en otras inversiones de similar riesgo (costo de oportunidad); es decir, el inversionista, al momento de colocar su capital en un determinado proyecto, enfrenta un costo implícito pues ese dinero ya no podrá ser utilizado en otros proyectos o inversiones alternativas. </w:t>
      </w:r>
    </w:p>
    <w:p w:rsidR="008B1465" w:rsidRPr="00183D7F" w:rsidRDefault="008B1465" w:rsidP="00183D7F">
      <w:pPr>
        <w:jc w:val="both"/>
        <w:rPr>
          <w:rFonts w:cs="Calibri"/>
          <w:bCs/>
          <w:sz w:val="24"/>
          <w:szCs w:val="24"/>
        </w:rPr>
      </w:pPr>
    </w:p>
    <w:p w:rsidR="008B1465" w:rsidRPr="00183D7F" w:rsidRDefault="008B1465" w:rsidP="00183D7F">
      <w:pPr>
        <w:jc w:val="both"/>
        <w:rPr>
          <w:rFonts w:cs="Calibri"/>
          <w:bCs/>
          <w:sz w:val="24"/>
          <w:szCs w:val="24"/>
        </w:rPr>
      </w:pPr>
      <w:r w:rsidRPr="00183D7F">
        <w:rPr>
          <w:rFonts w:cs="Calibri"/>
          <w:bCs/>
          <w:sz w:val="24"/>
          <w:szCs w:val="24"/>
        </w:rPr>
        <w:lastRenderedPageBreak/>
        <w:t xml:space="preserve">Más específicamente, un proyecto se financia tanto como con dinero de inversionistas directos (dueños del patrimonio de la empresa, a los cuales hay que compensarlos con su respectivo costo de oportunidad) como con deuda (capital proveniente de instituciones financieras, a las cuales hay que compensarlas con la tasa de interés respectiva).  El WACC corresponde a la suma (ponderada) de cada uno de estos componentes, donde la ponderación está dada por la fracción que cada componente tiene en el giro del negocio. </w:t>
      </w:r>
    </w:p>
    <w:p w:rsidR="008B1465" w:rsidRPr="00183D7F" w:rsidRDefault="008B1465" w:rsidP="00183D7F">
      <w:pPr>
        <w:jc w:val="both"/>
        <w:rPr>
          <w:rFonts w:cs="Calibri"/>
          <w:bCs/>
          <w:sz w:val="24"/>
          <w:szCs w:val="24"/>
        </w:rPr>
      </w:pPr>
      <w:r w:rsidRPr="00183D7F">
        <w:rPr>
          <w:rFonts w:cs="Calibri"/>
          <w:bCs/>
          <w:sz w:val="24"/>
          <w:szCs w:val="24"/>
        </w:rPr>
        <w:t>El costo ponderado de capital puede expresarse con la siguiente ecuación:</w:t>
      </w:r>
    </w:p>
    <w:p w:rsidR="008B1465" w:rsidRPr="007E2B90" w:rsidRDefault="008B1465" w:rsidP="008B1465">
      <w:pPr>
        <w:ind w:right="139"/>
        <w:jc w:val="center"/>
        <w:rPr>
          <w:rFonts w:eastAsia="Calibri" w:cs="Arial"/>
        </w:rPr>
      </w:pPr>
      <w:r w:rsidRPr="007E2B90">
        <w:rPr>
          <w:rFonts w:eastAsia="Calibri" w:cs="Arial"/>
          <w:noProof/>
          <w:lang w:eastAsia="es-EC"/>
        </w:rPr>
        <w:drawing>
          <wp:inline distT="0" distB="0" distL="0" distR="0">
            <wp:extent cx="2238375" cy="75247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752475"/>
                    </a:xfrm>
                    <a:prstGeom prst="rect">
                      <a:avLst/>
                    </a:prstGeom>
                    <a:noFill/>
                    <a:ln>
                      <a:noFill/>
                    </a:ln>
                  </pic:spPr>
                </pic:pic>
              </a:graphicData>
            </a:graphic>
          </wp:inline>
        </w:drawing>
      </w:r>
    </w:p>
    <w:p w:rsidR="008B1465" w:rsidRPr="00183D7F" w:rsidRDefault="008B1465" w:rsidP="00183D7F">
      <w:pPr>
        <w:jc w:val="both"/>
        <w:rPr>
          <w:rFonts w:cs="Calibri"/>
          <w:bCs/>
          <w:sz w:val="24"/>
          <w:szCs w:val="24"/>
        </w:rPr>
      </w:pPr>
      <w:r w:rsidRPr="00183D7F">
        <w:rPr>
          <w:rFonts w:cs="Calibri"/>
          <w:bCs/>
          <w:sz w:val="24"/>
          <w:szCs w:val="24"/>
        </w:rPr>
        <w:t xml:space="preserve">En donde: </w:t>
      </w:r>
    </w:p>
    <w:p w:rsidR="008B1465" w:rsidRPr="00183D7F" w:rsidRDefault="008B1465" w:rsidP="008B1465">
      <w:pPr>
        <w:ind w:right="139"/>
        <w:jc w:val="both"/>
        <w:rPr>
          <w:rFonts w:eastAsia="Calibri" w:cs="Arial"/>
          <w:sz w:val="24"/>
        </w:rPr>
      </w:pPr>
      <w:r w:rsidRPr="00183D7F">
        <w:rPr>
          <w:rFonts w:eastAsia="Calibri" w:cs="Arial"/>
          <w:sz w:val="24"/>
        </w:rPr>
        <w:t>P= Patrimonio (o dinero que coloca el inversionista)</w:t>
      </w:r>
    </w:p>
    <w:p w:rsidR="008B1465" w:rsidRPr="00183D7F" w:rsidRDefault="008B1465" w:rsidP="008B1465">
      <w:pPr>
        <w:ind w:right="139"/>
        <w:jc w:val="both"/>
        <w:rPr>
          <w:rFonts w:eastAsia="Calibri" w:cs="Arial"/>
          <w:sz w:val="24"/>
        </w:rPr>
      </w:pPr>
      <w:r w:rsidRPr="00183D7F">
        <w:rPr>
          <w:rFonts w:eastAsia="Calibri" w:cs="Arial"/>
          <w:sz w:val="24"/>
        </w:rPr>
        <w:t>D= Deuda (o el valor que se debe pagar a las instituciones financieras)</w:t>
      </w:r>
    </w:p>
    <w:p w:rsidR="008B1465" w:rsidRPr="00183D7F" w:rsidRDefault="008B1465" w:rsidP="008B1465">
      <w:pPr>
        <w:ind w:right="139"/>
        <w:jc w:val="both"/>
        <w:rPr>
          <w:rFonts w:eastAsia="Calibri" w:cs="Arial"/>
          <w:sz w:val="24"/>
        </w:rPr>
      </w:pPr>
      <w:r w:rsidRPr="00183D7F">
        <w:rPr>
          <w:rFonts w:eastAsia="Calibri" w:cs="Arial"/>
          <w:sz w:val="24"/>
        </w:rPr>
        <w:t>K</w:t>
      </w:r>
      <w:r w:rsidRPr="00183D7F">
        <w:rPr>
          <w:rFonts w:eastAsia="Calibri" w:cs="Arial"/>
          <w:sz w:val="24"/>
          <w:vertAlign w:val="subscript"/>
        </w:rPr>
        <w:t>P</w:t>
      </w:r>
      <w:r w:rsidRPr="00183D7F">
        <w:rPr>
          <w:rFonts w:eastAsia="Calibri" w:cs="Arial"/>
          <w:sz w:val="24"/>
        </w:rPr>
        <w:t>= retorno al capital al patrimonio de los inversionistas (costo de oportunidad)</w:t>
      </w:r>
    </w:p>
    <w:p w:rsidR="008B1465" w:rsidRPr="00183D7F" w:rsidRDefault="008B1465" w:rsidP="008B1465">
      <w:pPr>
        <w:ind w:right="139"/>
        <w:jc w:val="both"/>
        <w:rPr>
          <w:rFonts w:eastAsia="Calibri" w:cs="Arial"/>
          <w:sz w:val="24"/>
        </w:rPr>
      </w:pPr>
      <w:r w:rsidRPr="00183D7F">
        <w:rPr>
          <w:rFonts w:eastAsia="Calibri" w:cs="Arial"/>
          <w:sz w:val="24"/>
        </w:rPr>
        <w:t>K</w:t>
      </w:r>
      <w:r w:rsidRPr="00183D7F">
        <w:rPr>
          <w:rFonts w:eastAsia="Calibri" w:cs="Arial"/>
          <w:sz w:val="24"/>
          <w:vertAlign w:val="subscript"/>
        </w:rPr>
        <w:t>D</w:t>
      </w:r>
      <w:r w:rsidRPr="00183D7F">
        <w:rPr>
          <w:rFonts w:eastAsia="Calibri" w:cs="Arial"/>
          <w:sz w:val="24"/>
        </w:rPr>
        <w:t>= tasa de interés de la deuda</w:t>
      </w:r>
    </w:p>
    <w:p w:rsidR="008B1465" w:rsidRPr="00183D7F" w:rsidRDefault="008B1465" w:rsidP="008B1465">
      <w:pPr>
        <w:ind w:right="139"/>
        <w:jc w:val="both"/>
        <w:rPr>
          <w:rFonts w:eastAsia="Calibri" w:cs="Arial"/>
          <w:sz w:val="24"/>
        </w:rPr>
      </w:pPr>
      <w:r w:rsidRPr="00183D7F">
        <w:rPr>
          <w:rFonts w:eastAsia="Calibri" w:cs="Arial"/>
          <w:sz w:val="24"/>
        </w:rPr>
        <w:t>T= tasa impositiva empresarial (15% Participación Trabajadores + 22% Impuesto a la Renta)</w:t>
      </w:r>
    </w:p>
    <w:p w:rsidR="008B1465" w:rsidRPr="00183D7F" w:rsidRDefault="008B1465" w:rsidP="008B1465">
      <w:pPr>
        <w:ind w:right="139"/>
        <w:jc w:val="both"/>
        <w:rPr>
          <w:rFonts w:eastAsia="Calibri" w:cs="Arial"/>
          <w:sz w:val="24"/>
        </w:rPr>
      </w:pPr>
      <w:r w:rsidRPr="00183D7F">
        <w:rPr>
          <w:rFonts w:eastAsia="Calibri" w:cs="Arial"/>
          <w:sz w:val="24"/>
        </w:rPr>
        <w:t xml:space="preserve"> </w:t>
      </w:r>
    </w:p>
    <w:p w:rsidR="008B1465" w:rsidRPr="00183D7F" w:rsidRDefault="008B1465" w:rsidP="008B1465">
      <w:pPr>
        <w:ind w:right="139"/>
        <w:jc w:val="both"/>
        <w:rPr>
          <w:rFonts w:eastAsia="Calibri" w:cs="Arial"/>
          <w:b/>
          <w:i/>
          <w:sz w:val="24"/>
        </w:rPr>
      </w:pPr>
      <w:r w:rsidRPr="00183D7F">
        <w:rPr>
          <w:rFonts w:eastAsia="Calibri" w:cs="Arial"/>
          <w:b/>
          <w:i/>
          <w:sz w:val="24"/>
        </w:rPr>
        <w:t>Costo del Patrimonio (K</w:t>
      </w:r>
      <w:r w:rsidRPr="00183D7F">
        <w:rPr>
          <w:rFonts w:eastAsia="Calibri" w:cs="Arial"/>
          <w:b/>
          <w:i/>
          <w:sz w:val="24"/>
          <w:vertAlign w:val="subscript"/>
        </w:rPr>
        <w:t>P</w:t>
      </w:r>
      <w:r w:rsidRPr="00183D7F">
        <w:rPr>
          <w:rFonts w:eastAsia="Calibri" w:cs="Arial"/>
          <w:b/>
          <w:i/>
          <w:sz w:val="24"/>
        </w:rPr>
        <w:t>)</w:t>
      </w:r>
    </w:p>
    <w:p w:rsidR="008B1465" w:rsidRPr="00183D7F" w:rsidRDefault="008B1465" w:rsidP="008B1465">
      <w:pPr>
        <w:ind w:right="139"/>
        <w:jc w:val="both"/>
        <w:rPr>
          <w:rFonts w:eastAsia="Calibri" w:cs="Arial"/>
          <w:sz w:val="24"/>
        </w:rPr>
      </w:pPr>
      <w:r w:rsidRPr="00183D7F">
        <w:rPr>
          <w:rFonts w:eastAsia="Calibri" w:cs="Arial"/>
          <w:sz w:val="24"/>
        </w:rPr>
        <w:t>Para el cálculo de K</w:t>
      </w:r>
      <w:r w:rsidRPr="00183D7F">
        <w:rPr>
          <w:rFonts w:eastAsia="Calibri" w:cs="Arial"/>
          <w:sz w:val="24"/>
          <w:vertAlign w:val="subscript"/>
        </w:rPr>
        <w:t>P</w:t>
      </w:r>
      <w:r w:rsidRPr="00183D7F">
        <w:rPr>
          <w:rFonts w:eastAsia="Calibri" w:cs="Arial"/>
          <w:sz w:val="24"/>
        </w:rPr>
        <w:t>, se usa el modelo de precios de bienes de capital (CAPM), el cual es una de las fórmulas más reconocidas en finanzas corporativas:</w:t>
      </w:r>
    </w:p>
    <w:p w:rsidR="008B1465" w:rsidRPr="00183D7F" w:rsidRDefault="008B1465" w:rsidP="008B1465">
      <w:pPr>
        <w:ind w:right="139"/>
        <w:jc w:val="both"/>
        <w:rPr>
          <w:rFonts w:eastAsia="Calibri" w:cs="Arial"/>
          <w:sz w:val="24"/>
        </w:rPr>
      </w:pPr>
    </w:p>
    <w:p w:rsidR="008B1465" w:rsidRPr="00183D7F" w:rsidRDefault="00BA56A3" w:rsidP="008B1465">
      <w:pPr>
        <w:ind w:left="2124" w:firstLine="708"/>
        <w:jc w:val="both"/>
        <w:rPr>
          <w:rFonts w:cs="Arial"/>
          <w:sz w:val="24"/>
          <w:lang w:val="es-MX"/>
        </w:rPr>
      </w:pPr>
      <m:oMathPara>
        <m:oMath>
          <m:sSub>
            <m:sSubPr>
              <m:ctrlPr>
                <w:rPr>
                  <w:rFonts w:ascii="Cambria Math" w:hAnsi="Cambria Math" w:cs="Arial"/>
                  <w:i/>
                  <w:sz w:val="24"/>
                  <w:lang w:val="es-MX"/>
                </w:rPr>
              </m:ctrlPr>
            </m:sSubPr>
            <m:e>
              <m:r>
                <w:rPr>
                  <w:rFonts w:ascii="Cambria Math" w:hAnsi="Cambria Math" w:cs="Arial"/>
                  <w:sz w:val="24"/>
                  <w:lang w:val="es-MX"/>
                </w:rPr>
                <m:t>K</m:t>
              </m:r>
            </m:e>
            <m:sub>
              <m:r>
                <w:rPr>
                  <w:rFonts w:ascii="Cambria Math" w:hAnsi="Cambria Math" w:cs="Arial"/>
                  <w:sz w:val="24"/>
                  <w:lang w:val="es-MX"/>
                </w:rPr>
                <m:t>p</m:t>
              </m:r>
            </m:sub>
          </m:sSub>
          <m:r>
            <w:rPr>
              <w:rFonts w:ascii="Cambria Math" w:hAnsi="Cambria Math" w:cs="Arial"/>
              <w:sz w:val="24"/>
              <w:lang w:val="es-MX"/>
            </w:rPr>
            <m:t>=</m:t>
          </m:r>
          <m:sSub>
            <m:sSubPr>
              <m:ctrlPr>
                <w:rPr>
                  <w:rFonts w:ascii="Cambria Math" w:hAnsi="Cambria Math" w:cs="Arial"/>
                  <w:i/>
                  <w:sz w:val="24"/>
                  <w:lang w:val="es-MX"/>
                </w:rPr>
              </m:ctrlPr>
            </m:sSubPr>
            <m:e>
              <m:r>
                <w:rPr>
                  <w:rFonts w:ascii="Cambria Math" w:hAnsi="Cambria Math" w:cs="Arial"/>
                  <w:sz w:val="24"/>
                  <w:lang w:val="es-MX"/>
                </w:rPr>
                <m:t>r</m:t>
              </m:r>
            </m:e>
            <m:sub>
              <m:r>
                <w:rPr>
                  <w:rFonts w:ascii="Cambria Math" w:hAnsi="Cambria Math" w:cs="Arial"/>
                  <w:sz w:val="24"/>
                  <w:lang w:val="es-MX"/>
                </w:rPr>
                <m:t>f</m:t>
              </m:r>
            </m:sub>
          </m:sSub>
          <m:r>
            <w:rPr>
              <w:rFonts w:ascii="Cambria Math" w:hAnsi="Cambria Math" w:cs="Arial"/>
              <w:sz w:val="24"/>
              <w:lang w:val="es-MX"/>
            </w:rPr>
            <m:t>+</m:t>
          </m:r>
          <m:sSub>
            <m:sSubPr>
              <m:ctrlPr>
                <w:rPr>
                  <w:rFonts w:ascii="Cambria Math" w:hAnsi="Cambria Math" w:cs="Arial"/>
                  <w:i/>
                  <w:sz w:val="24"/>
                  <w:lang w:val="es-MX"/>
                </w:rPr>
              </m:ctrlPr>
            </m:sSubPr>
            <m:e>
              <m:r>
                <w:rPr>
                  <w:rFonts w:ascii="Cambria Math" w:hAnsi="Cambria Math" w:cs="Arial"/>
                  <w:sz w:val="24"/>
                  <w:lang w:val="es-MX"/>
                </w:rPr>
                <m:t>β</m:t>
              </m:r>
            </m:e>
            <m:sub>
              <m:r>
                <w:rPr>
                  <w:rFonts w:ascii="Cambria Math" w:hAnsi="Cambria Math" w:cs="Arial"/>
                  <w:sz w:val="24"/>
                  <w:lang w:val="es-MX"/>
                </w:rPr>
                <m:t>A</m:t>
              </m:r>
            </m:sub>
          </m:sSub>
          <m:d>
            <m:dPr>
              <m:ctrlPr>
                <w:rPr>
                  <w:rFonts w:ascii="Cambria Math" w:hAnsi="Cambria Math" w:cs="Arial"/>
                  <w:i/>
                  <w:sz w:val="24"/>
                  <w:lang w:val="es-MX"/>
                </w:rPr>
              </m:ctrlPr>
            </m:dPr>
            <m:e>
              <m:sSub>
                <m:sSubPr>
                  <m:ctrlPr>
                    <w:rPr>
                      <w:rFonts w:ascii="Cambria Math" w:hAnsi="Cambria Math" w:cs="Arial"/>
                      <w:i/>
                      <w:sz w:val="24"/>
                      <w:lang w:val="es-MX"/>
                    </w:rPr>
                  </m:ctrlPr>
                </m:sSubPr>
                <m:e>
                  <m:r>
                    <w:rPr>
                      <w:rFonts w:ascii="Cambria Math" w:hAnsi="Cambria Math" w:cs="Arial"/>
                      <w:sz w:val="24"/>
                      <w:lang w:val="es-MX"/>
                    </w:rPr>
                    <m:t>r</m:t>
                  </m:r>
                </m:e>
                <m:sub>
                  <m:r>
                    <w:rPr>
                      <w:rFonts w:ascii="Cambria Math" w:hAnsi="Cambria Math" w:cs="Arial"/>
                      <w:sz w:val="24"/>
                      <w:lang w:val="es-MX"/>
                    </w:rPr>
                    <m:t>m</m:t>
                  </m:r>
                </m:sub>
              </m:sSub>
              <m:r>
                <w:rPr>
                  <w:rFonts w:ascii="Cambria Math" w:hAnsi="Cambria Math" w:cs="Arial"/>
                  <w:sz w:val="24"/>
                  <w:lang w:val="es-MX"/>
                </w:rPr>
                <m:t xml:space="preserve">- </m:t>
              </m:r>
              <m:sSub>
                <m:sSubPr>
                  <m:ctrlPr>
                    <w:rPr>
                      <w:rFonts w:ascii="Cambria Math" w:hAnsi="Cambria Math" w:cs="Arial"/>
                      <w:i/>
                      <w:sz w:val="24"/>
                      <w:lang w:val="es-MX"/>
                    </w:rPr>
                  </m:ctrlPr>
                </m:sSubPr>
                <m:e>
                  <m:r>
                    <w:rPr>
                      <w:rFonts w:ascii="Cambria Math" w:hAnsi="Cambria Math" w:cs="Arial"/>
                      <w:sz w:val="24"/>
                      <w:lang w:val="es-MX"/>
                    </w:rPr>
                    <m:t>r</m:t>
                  </m:r>
                </m:e>
                <m:sub>
                  <m:r>
                    <w:rPr>
                      <w:rFonts w:ascii="Cambria Math" w:hAnsi="Cambria Math" w:cs="Arial"/>
                      <w:sz w:val="24"/>
                      <w:lang w:val="es-MX"/>
                    </w:rPr>
                    <m:t>f</m:t>
                  </m:r>
                </m:sub>
              </m:sSub>
            </m:e>
          </m:d>
          <m:r>
            <w:rPr>
              <w:rFonts w:ascii="Cambria Math" w:hAnsi="Cambria Math" w:cs="Arial"/>
              <w:sz w:val="24"/>
              <w:lang w:val="es-MX"/>
            </w:rPr>
            <m:t>+</m:t>
          </m:r>
          <m:sSub>
            <m:sSubPr>
              <m:ctrlPr>
                <w:rPr>
                  <w:rFonts w:ascii="Cambria Math" w:hAnsi="Cambria Math" w:cs="Arial"/>
                  <w:i/>
                  <w:sz w:val="24"/>
                  <w:lang w:val="es-MX"/>
                </w:rPr>
              </m:ctrlPr>
            </m:sSubPr>
            <m:e>
              <m:r>
                <w:rPr>
                  <w:rFonts w:ascii="Cambria Math" w:hAnsi="Cambria Math" w:cs="Arial"/>
                  <w:sz w:val="24"/>
                  <w:lang w:val="es-MX"/>
                </w:rPr>
                <m:t>r</m:t>
              </m:r>
            </m:e>
            <m:sub>
              <m:r>
                <w:rPr>
                  <w:rFonts w:ascii="Cambria Math" w:hAnsi="Cambria Math" w:cs="Arial"/>
                  <w:sz w:val="24"/>
                  <w:lang w:val="es-MX"/>
                </w:rPr>
                <m:t>S</m:t>
              </m:r>
            </m:sub>
          </m:sSub>
        </m:oMath>
      </m:oMathPara>
    </w:p>
    <w:p w:rsidR="008B1465" w:rsidRPr="00183D7F" w:rsidRDefault="008B1465" w:rsidP="008B1465">
      <w:pPr>
        <w:ind w:right="139"/>
        <w:jc w:val="both"/>
        <w:rPr>
          <w:rFonts w:eastAsia="Calibri" w:cs="Arial"/>
          <w:sz w:val="24"/>
        </w:rPr>
      </w:pPr>
      <w:r w:rsidRPr="00183D7F">
        <w:rPr>
          <w:rFonts w:eastAsia="Calibri" w:cs="Arial"/>
          <w:sz w:val="24"/>
        </w:rPr>
        <w:t>En donde:</w:t>
      </w:r>
    </w:p>
    <w:p w:rsidR="008B1465" w:rsidRPr="00183D7F" w:rsidRDefault="008B1465" w:rsidP="008B1465">
      <w:pPr>
        <w:ind w:right="139"/>
        <w:jc w:val="both"/>
        <w:rPr>
          <w:rFonts w:eastAsia="Calibri" w:cs="Arial"/>
          <w:sz w:val="24"/>
        </w:rPr>
      </w:pPr>
      <w:proofErr w:type="spellStart"/>
      <w:proofErr w:type="gramStart"/>
      <w:r w:rsidRPr="00183D7F">
        <w:rPr>
          <w:rFonts w:eastAsia="Calibri" w:cs="Arial"/>
          <w:sz w:val="24"/>
        </w:rPr>
        <w:lastRenderedPageBreak/>
        <w:t>r</w:t>
      </w:r>
      <w:r w:rsidRPr="00183D7F">
        <w:rPr>
          <w:rFonts w:eastAsia="Calibri" w:cs="Arial"/>
          <w:sz w:val="24"/>
          <w:vertAlign w:val="subscript"/>
        </w:rPr>
        <w:t>f</w:t>
      </w:r>
      <w:proofErr w:type="spellEnd"/>
      <w:proofErr w:type="gramEnd"/>
      <w:r w:rsidRPr="00183D7F">
        <w:rPr>
          <w:rFonts w:eastAsia="Calibri" w:cs="Arial"/>
          <w:sz w:val="24"/>
        </w:rPr>
        <w:t xml:space="preserve"> = Tasa libre de riesgo</w:t>
      </w:r>
    </w:p>
    <w:p w:rsidR="008B1465" w:rsidRPr="00183D7F" w:rsidRDefault="008B1465" w:rsidP="008B1465">
      <w:pPr>
        <w:ind w:right="139"/>
        <w:jc w:val="both"/>
        <w:rPr>
          <w:rFonts w:eastAsia="Calibri" w:cs="Arial"/>
          <w:sz w:val="24"/>
        </w:rPr>
      </w:pPr>
      <w:proofErr w:type="spellStart"/>
      <w:proofErr w:type="gramStart"/>
      <w:r w:rsidRPr="00183D7F">
        <w:rPr>
          <w:rFonts w:eastAsia="Calibri" w:cs="Arial"/>
          <w:sz w:val="24"/>
        </w:rPr>
        <w:t>r</w:t>
      </w:r>
      <w:r w:rsidRPr="00183D7F">
        <w:rPr>
          <w:rFonts w:eastAsia="Calibri" w:cs="Arial"/>
          <w:sz w:val="24"/>
          <w:vertAlign w:val="subscript"/>
        </w:rPr>
        <w:t>m</w:t>
      </w:r>
      <w:proofErr w:type="spellEnd"/>
      <w:proofErr w:type="gramEnd"/>
      <w:r w:rsidRPr="00183D7F">
        <w:rPr>
          <w:rFonts w:eastAsia="Calibri" w:cs="Arial"/>
          <w:sz w:val="24"/>
        </w:rPr>
        <w:t>= Rendimiento promedio del mercado</w:t>
      </w:r>
    </w:p>
    <w:p w:rsidR="008B1465" w:rsidRPr="00183D7F" w:rsidRDefault="008B1465" w:rsidP="008B1465">
      <w:pPr>
        <w:ind w:right="139"/>
        <w:jc w:val="both"/>
        <w:rPr>
          <w:rFonts w:eastAsia="Calibri" w:cs="Arial"/>
          <w:sz w:val="24"/>
        </w:rPr>
      </w:pPr>
      <w:r w:rsidRPr="00183D7F">
        <w:rPr>
          <w:rFonts w:eastAsia="Calibri" w:cs="Arial"/>
          <w:sz w:val="24"/>
        </w:rPr>
        <w:t>(</w:t>
      </w:r>
      <w:proofErr w:type="spellStart"/>
      <w:proofErr w:type="gramStart"/>
      <w:r w:rsidRPr="00183D7F">
        <w:rPr>
          <w:rFonts w:eastAsia="Calibri" w:cs="Arial"/>
          <w:sz w:val="24"/>
        </w:rPr>
        <w:t>r</w:t>
      </w:r>
      <w:r w:rsidRPr="00183D7F">
        <w:rPr>
          <w:rFonts w:eastAsia="Calibri" w:cs="Arial"/>
          <w:sz w:val="24"/>
          <w:vertAlign w:val="subscript"/>
        </w:rPr>
        <w:t>m</w:t>
      </w:r>
      <w:proofErr w:type="spellEnd"/>
      <w:r w:rsidRPr="00183D7F">
        <w:rPr>
          <w:rFonts w:eastAsia="Calibri" w:cs="Arial"/>
          <w:sz w:val="24"/>
        </w:rPr>
        <w:t>-</w:t>
      </w:r>
      <w:proofErr w:type="gramEnd"/>
      <w:r w:rsidRPr="00183D7F">
        <w:rPr>
          <w:rFonts w:eastAsia="Calibri" w:cs="Arial"/>
          <w:sz w:val="24"/>
        </w:rPr>
        <w:t xml:space="preserve"> </w:t>
      </w:r>
      <w:proofErr w:type="spellStart"/>
      <w:r w:rsidRPr="00183D7F">
        <w:rPr>
          <w:rFonts w:eastAsia="Calibri" w:cs="Arial"/>
          <w:sz w:val="24"/>
        </w:rPr>
        <w:t>r</w:t>
      </w:r>
      <w:r w:rsidRPr="00183D7F">
        <w:rPr>
          <w:rFonts w:eastAsia="Calibri" w:cs="Arial"/>
          <w:sz w:val="24"/>
          <w:vertAlign w:val="subscript"/>
        </w:rPr>
        <w:t>f</w:t>
      </w:r>
      <w:proofErr w:type="spellEnd"/>
      <w:r w:rsidRPr="00183D7F">
        <w:rPr>
          <w:rFonts w:eastAsia="Calibri" w:cs="Arial"/>
          <w:sz w:val="24"/>
        </w:rPr>
        <w:t xml:space="preserve"> ) = Es el premio por invertir (premio al riesgo)</w:t>
      </w:r>
    </w:p>
    <w:p w:rsidR="008B1465" w:rsidRPr="00183D7F" w:rsidRDefault="008B1465" w:rsidP="008B1465">
      <w:pPr>
        <w:ind w:right="139"/>
        <w:jc w:val="both"/>
        <w:rPr>
          <w:rFonts w:eastAsia="Calibri" w:cs="Arial"/>
          <w:sz w:val="24"/>
        </w:rPr>
      </w:pPr>
      <w:proofErr w:type="gramStart"/>
      <w:r w:rsidRPr="00183D7F">
        <w:rPr>
          <w:rFonts w:eastAsia="Calibri" w:cs="Arial"/>
          <w:sz w:val="24"/>
        </w:rPr>
        <w:t>β</w:t>
      </w:r>
      <w:r w:rsidRPr="00183D7F">
        <w:rPr>
          <w:rFonts w:eastAsia="Calibri" w:cs="Arial"/>
          <w:sz w:val="24"/>
          <w:vertAlign w:val="subscript"/>
        </w:rPr>
        <w:t>A</w:t>
      </w:r>
      <w:proofErr w:type="gramEnd"/>
      <w:r w:rsidRPr="00183D7F">
        <w:rPr>
          <w:rFonts w:eastAsia="Calibri" w:cs="Arial"/>
          <w:sz w:val="24"/>
        </w:rPr>
        <w:t xml:space="preserve"> = Beta apalancada como medida del riesgo sistemático</w:t>
      </w:r>
    </w:p>
    <w:p w:rsidR="008B1465" w:rsidRPr="00183D7F" w:rsidRDefault="008B1465" w:rsidP="008B1465">
      <w:pPr>
        <w:ind w:right="139"/>
        <w:jc w:val="both"/>
        <w:rPr>
          <w:rFonts w:eastAsia="Calibri" w:cs="Arial"/>
          <w:sz w:val="24"/>
        </w:rPr>
      </w:pPr>
      <w:proofErr w:type="gramStart"/>
      <w:r w:rsidRPr="00183D7F">
        <w:rPr>
          <w:rFonts w:eastAsia="Calibri" w:cs="Arial"/>
          <w:sz w:val="24"/>
        </w:rPr>
        <w:t>β</w:t>
      </w:r>
      <w:r w:rsidRPr="00183D7F">
        <w:rPr>
          <w:rFonts w:eastAsia="Calibri" w:cs="Arial"/>
          <w:sz w:val="24"/>
          <w:vertAlign w:val="subscript"/>
        </w:rPr>
        <w:t>A</w:t>
      </w:r>
      <w:proofErr w:type="gramEnd"/>
      <w:r w:rsidRPr="00183D7F">
        <w:rPr>
          <w:rFonts w:eastAsia="Calibri" w:cs="Arial"/>
          <w:sz w:val="24"/>
        </w:rPr>
        <w:t>= β(1+(1-T)(D/P)) , si β&gt;1 implica que el riesgo (o el exceso de rendimiento) de la industria considerada es superior al promedio del mercado, mientras que lo contrario ocurre para β&lt;1.</w:t>
      </w:r>
    </w:p>
    <w:p w:rsidR="008B1465" w:rsidRPr="00183D7F" w:rsidRDefault="008B1465" w:rsidP="008B1465">
      <w:pPr>
        <w:ind w:right="139"/>
        <w:jc w:val="both"/>
        <w:rPr>
          <w:rFonts w:eastAsia="Calibri" w:cs="Arial"/>
          <w:sz w:val="24"/>
        </w:rPr>
      </w:pPr>
      <w:proofErr w:type="spellStart"/>
      <w:proofErr w:type="gramStart"/>
      <w:r w:rsidRPr="00183D7F">
        <w:rPr>
          <w:rFonts w:eastAsia="Calibri" w:cs="Arial"/>
          <w:sz w:val="24"/>
        </w:rPr>
        <w:t>r</w:t>
      </w:r>
      <w:r w:rsidRPr="00183D7F">
        <w:rPr>
          <w:rFonts w:eastAsia="Calibri" w:cs="Arial"/>
          <w:sz w:val="24"/>
          <w:vertAlign w:val="subscript"/>
        </w:rPr>
        <w:t>S</w:t>
      </w:r>
      <w:proofErr w:type="spellEnd"/>
      <w:proofErr w:type="gramEnd"/>
      <w:r w:rsidRPr="00183D7F">
        <w:rPr>
          <w:rFonts w:eastAsia="Calibri" w:cs="Arial"/>
          <w:sz w:val="24"/>
        </w:rPr>
        <w:t xml:space="preserve"> = Riesgo soberano</w:t>
      </w:r>
    </w:p>
    <w:p w:rsidR="008B1465" w:rsidRPr="00183D7F" w:rsidRDefault="008B1465" w:rsidP="008B1465">
      <w:pPr>
        <w:ind w:right="139"/>
        <w:jc w:val="both"/>
        <w:rPr>
          <w:rFonts w:eastAsia="Calibri" w:cs="Arial"/>
          <w:sz w:val="24"/>
        </w:rPr>
      </w:pPr>
    </w:p>
    <w:p w:rsidR="008B1465" w:rsidRPr="00183D7F" w:rsidRDefault="008B1465" w:rsidP="008B1465">
      <w:pPr>
        <w:ind w:right="139"/>
        <w:jc w:val="both"/>
        <w:rPr>
          <w:rFonts w:eastAsia="Calibri" w:cs="Arial"/>
          <w:b/>
          <w:i/>
          <w:sz w:val="24"/>
        </w:rPr>
      </w:pPr>
      <w:r w:rsidRPr="00183D7F">
        <w:rPr>
          <w:rFonts w:eastAsia="Calibri" w:cs="Arial"/>
          <w:b/>
          <w:i/>
          <w:sz w:val="24"/>
        </w:rPr>
        <w:t>Costo de la Deuda (K</w:t>
      </w:r>
      <w:r w:rsidRPr="00183D7F">
        <w:rPr>
          <w:rFonts w:eastAsia="Calibri" w:cs="Arial"/>
          <w:b/>
          <w:i/>
          <w:sz w:val="24"/>
          <w:vertAlign w:val="subscript"/>
        </w:rPr>
        <w:t>D</w:t>
      </w:r>
      <w:r w:rsidRPr="00183D7F">
        <w:rPr>
          <w:rFonts w:eastAsia="Calibri" w:cs="Arial"/>
          <w:b/>
          <w:i/>
          <w:sz w:val="24"/>
        </w:rPr>
        <w:t>)</w:t>
      </w:r>
    </w:p>
    <w:p w:rsidR="008B1465" w:rsidRPr="00183D7F" w:rsidRDefault="008B1465" w:rsidP="008B1465">
      <w:pPr>
        <w:ind w:right="139"/>
        <w:jc w:val="both"/>
        <w:rPr>
          <w:rFonts w:eastAsia="Calibri" w:cs="Arial"/>
          <w:sz w:val="24"/>
        </w:rPr>
      </w:pPr>
      <w:r w:rsidRPr="00183D7F">
        <w:rPr>
          <w:rFonts w:eastAsia="Calibri" w:cs="Arial"/>
          <w:sz w:val="24"/>
        </w:rPr>
        <w:t xml:space="preserve">Este parámetro responde al costo al cual el inversionista puede adquirir financiamiento (a través del sistema financiero) para el proyecto. Es decir, este costo corresponde a la tasa de interés a la cual una institución financiera estaría dispuesta a otorgar un crédito al inversionista. </w:t>
      </w:r>
    </w:p>
    <w:p w:rsidR="008B1465" w:rsidRPr="00183D7F" w:rsidRDefault="008B1465" w:rsidP="008B1465">
      <w:pPr>
        <w:ind w:right="139"/>
        <w:jc w:val="both"/>
        <w:rPr>
          <w:rFonts w:eastAsia="Calibri" w:cs="Arial"/>
          <w:sz w:val="24"/>
        </w:rPr>
      </w:pPr>
    </w:p>
    <w:p w:rsidR="008B1465" w:rsidRPr="00183D7F" w:rsidRDefault="008B1465" w:rsidP="008B1465">
      <w:pPr>
        <w:ind w:right="139"/>
        <w:jc w:val="both"/>
        <w:rPr>
          <w:rFonts w:eastAsia="Calibri" w:cs="Arial"/>
          <w:b/>
          <w:i/>
          <w:sz w:val="24"/>
        </w:rPr>
      </w:pPr>
      <w:r w:rsidRPr="00183D7F">
        <w:rPr>
          <w:rFonts w:eastAsia="Calibri" w:cs="Arial"/>
          <w:b/>
          <w:i/>
          <w:sz w:val="24"/>
        </w:rPr>
        <w:t>Deuda (D) y Patrimonio (P)</w:t>
      </w:r>
    </w:p>
    <w:p w:rsidR="008B1465" w:rsidRPr="00183D7F" w:rsidRDefault="008B1465" w:rsidP="008B1465">
      <w:pPr>
        <w:ind w:right="139"/>
        <w:jc w:val="both"/>
        <w:rPr>
          <w:rFonts w:eastAsia="Calibri" w:cs="Arial"/>
          <w:sz w:val="24"/>
        </w:rPr>
      </w:pPr>
      <w:r w:rsidRPr="00183D7F">
        <w:rPr>
          <w:rFonts w:eastAsia="Calibri" w:cs="Arial"/>
          <w:sz w:val="24"/>
        </w:rPr>
        <w:t xml:space="preserve">La deuda (D) corresponde al valor (USD) que el sistema financiero otorgue al inversionista a una tasa de interés determinada y el patrimonio (P) corresponde al aporte (USD) con el que los inversionistas están dispuestos a participar. </w:t>
      </w:r>
    </w:p>
    <w:p w:rsidR="008B1465" w:rsidRPr="00183D7F" w:rsidRDefault="008B1465" w:rsidP="008B1465">
      <w:pPr>
        <w:ind w:right="139"/>
        <w:jc w:val="both"/>
        <w:rPr>
          <w:rFonts w:eastAsia="Calibri" w:cs="Arial"/>
          <w:sz w:val="24"/>
        </w:rPr>
      </w:pPr>
    </w:p>
    <w:p w:rsidR="008B1465" w:rsidRPr="00183D7F" w:rsidRDefault="008B1465" w:rsidP="008B1465">
      <w:pPr>
        <w:ind w:right="139"/>
        <w:jc w:val="both"/>
        <w:rPr>
          <w:rFonts w:eastAsia="Calibri" w:cs="Arial"/>
          <w:b/>
          <w:i/>
          <w:sz w:val="24"/>
        </w:rPr>
      </w:pPr>
      <w:r w:rsidRPr="00183D7F">
        <w:rPr>
          <w:rFonts w:eastAsia="Calibri" w:cs="Arial"/>
          <w:b/>
          <w:i/>
          <w:sz w:val="24"/>
        </w:rPr>
        <w:t>Tasa Impositiva (1-T)</w:t>
      </w:r>
    </w:p>
    <w:p w:rsidR="008B1465" w:rsidRPr="00183D7F" w:rsidRDefault="008B1465" w:rsidP="008B1465">
      <w:pPr>
        <w:ind w:right="139"/>
        <w:jc w:val="both"/>
        <w:rPr>
          <w:rFonts w:eastAsia="Calibri" w:cs="Arial"/>
          <w:sz w:val="24"/>
        </w:rPr>
      </w:pPr>
      <w:r w:rsidRPr="00183D7F">
        <w:rPr>
          <w:rFonts w:eastAsia="Calibri" w:cs="Arial"/>
          <w:sz w:val="24"/>
        </w:rPr>
        <w:t xml:space="preserve">(T) representa la tasa impositiva empresarial, es decir la tasa del impuesto a la renta que anualmente deben pagar las empresas 22% y en el caso muy específico de Ecuador se debe incluir también el 15% de participación de utilidades que por Ley corresponde a los trabajadores.  </w:t>
      </w:r>
    </w:p>
    <w:p w:rsidR="008B1465" w:rsidRPr="00183D7F" w:rsidRDefault="008B1465" w:rsidP="008B1465">
      <w:pPr>
        <w:ind w:right="139"/>
        <w:jc w:val="both"/>
        <w:rPr>
          <w:rFonts w:eastAsia="Calibri" w:cs="Arial"/>
          <w:sz w:val="24"/>
        </w:rPr>
      </w:pPr>
    </w:p>
    <w:p w:rsidR="008B1465" w:rsidRPr="00183D7F" w:rsidRDefault="00183D7F" w:rsidP="00183D7F">
      <w:pPr>
        <w:ind w:right="139"/>
        <w:jc w:val="both"/>
        <w:rPr>
          <w:rFonts w:cs="Arial"/>
          <w:sz w:val="24"/>
        </w:rPr>
      </w:pPr>
      <w:r>
        <w:rPr>
          <w:rFonts w:eastAsia="Calibri" w:cs="Arial"/>
          <w:b/>
          <w:sz w:val="24"/>
        </w:rPr>
        <w:t xml:space="preserve">VALOR DEL WACC PARA TELECOMUNICACIONES Y BROADCASTING </w:t>
      </w:r>
    </w:p>
    <w:p w:rsidR="008B1465" w:rsidRPr="00183D7F" w:rsidRDefault="008B1465" w:rsidP="008B1465">
      <w:pPr>
        <w:jc w:val="both"/>
        <w:rPr>
          <w:rFonts w:cs="Arial"/>
          <w:sz w:val="24"/>
        </w:rPr>
      </w:pPr>
      <w:r w:rsidRPr="00183D7F">
        <w:rPr>
          <w:rFonts w:cs="Arial"/>
          <w:sz w:val="24"/>
        </w:rPr>
        <w:t xml:space="preserve">En la siguiente dirección </w:t>
      </w:r>
      <w:hyperlink r:id="rId16" w:history="1">
        <w:r w:rsidRPr="00183D7F">
          <w:rPr>
            <w:rStyle w:val="Hipervnculo"/>
            <w:rFonts w:cs="Arial"/>
            <w:sz w:val="24"/>
          </w:rPr>
          <w:t>http://www.damodaran.com</w:t>
        </w:r>
      </w:hyperlink>
      <w:r w:rsidRPr="00183D7F">
        <w:rPr>
          <w:rFonts w:cs="Arial"/>
          <w:sz w:val="24"/>
        </w:rPr>
        <w:t>, se obtuvo datos del costo de capital, de las siguientes industrias</w:t>
      </w:r>
      <w:r w:rsidR="00183D7F">
        <w:rPr>
          <w:rFonts w:cs="Arial"/>
          <w:sz w:val="24"/>
        </w:rPr>
        <w:t xml:space="preserve"> a nivel internacional</w:t>
      </w:r>
      <w:r w:rsidRPr="00183D7F">
        <w:rPr>
          <w:rFonts w:cs="Arial"/>
          <w:sz w:val="24"/>
        </w:rPr>
        <w:t>: “Radiodifusión” y “Servicios de Telecomunicaciones”.</w:t>
      </w:r>
    </w:p>
    <w:p w:rsidR="008B1465" w:rsidRPr="00183D7F" w:rsidRDefault="008B1465" w:rsidP="008B1465">
      <w:pPr>
        <w:jc w:val="both"/>
        <w:rPr>
          <w:rFonts w:cs="Arial"/>
          <w:sz w:val="24"/>
        </w:rPr>
      </w:pPr>
    </w:p>
    <w:p w:rsidR="008B1465" w:rsidRPr="00183D7F" w:rsidRDefault="008B1465" w:rsidP="008B1465">
      <w:pPr>
        <w:jc w:val="both"/>
        <w:rPr>
          <w:rFonts w:cs="Arial"/>
          <w:sz w:val="24"/>
        </w:rPr>
      </w:pPr>
      <w:r w:rsidRPr="00183D7F">
        <w:rPr>
          <w:noProof/>
          <w:sz w:val="24"/>
          <w:lang w:eastAsia="es-EC"/>
        </w:rPr>
        <w:drawing>
          <wp:inline distT="0" distB="0" distL="0" distR="0" wp14:anchorId="1DCDD349" wp14:editId="7C2F5BB3">
            <wp:extent cx="6136513" cy="1523968"/>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6340" cy="1528892"/>
                    </a:xfrm>
                    <a:prstGeom prst="rect">
                      <a:avLst/>
                    </a:prstGeom>
                    <a:noFill/>
                    <a:ln>
                      <a:noFill/>
                    </a:ln>
                  </pic:spPr>
                </pic:pic>
              </a:graphicData>
            </a:graphic>
          </wp:inline>
        </w:drawing>
      </w:r>
    </w:p>
    <w:p w:rsidR="008B1465" w:rsidRPr="00183D7F" w:rsidRDefault="008B1465" w:rsidP="008B1465">
      <w:pPr>
        <w:jc w:val="both"/>
        <w:rPr>
          <w:rFonts w:cs="Arial"/>
          <w:sz w:val="24"/>
        </w:rPr>
      </w:pPr>
    </w:p>
    <w:p w:rsidR="008B1465" w:rsidRPr="00183D7F" w:rsidRDefault="008B1465" w:rsidP="008B1465">
      <w:pPr>
        <w:jc w:val="both"/>
        <w:rPr>
          <w:rFonts w:cs="Arial"/>
          <w:sz w:val="24"/>
        </w:rPr>
      </w:pPr>
      <w:r w:rsidRPr="00183D7F">
        <w:rPr>
          <w:rFonts w:cs="Arial"/>
          <w:sz w:val="24"/>
        </w:rPr>
        <w:t>En la tabla anterior se puede apreciar que el costo del capital a nivel mundial para la industria de Radiodifusión es de 6.17%, superior a en 0.65 puntos al de la industria de servicios de telecomunicaciones que es de 5.52%.</w:t>
      </w:r>
    </w:p>
    <w:p w:rsidR="008B1465" w:rsidRPr="00183D7F" w:rsidRDefault="008B1465" w:rsidP="008B1465">
      <w:pPr>
        <w:jc w:val="both"/>
        <w:rPr>
          <w:rFonts w:cs="Arial"/>
          <w:sz w:val="24"/>
        </w:rPr>
      </w:pPr>
      <w:r w:rsidRPr="00183D7F">
        <w:rPr>
          <w:rFonts w:cs="Arial"/>
          <w:sz w:val="24"/>
        </w:rPr>
        <w:t>Como es conocido, el costo promedio ponderado de capital, tiene su importancia por cuanto es un indicador necesario en la toma de decisiones en el</w:t>
      </w:r>
      <w:r w:rsidR="00610C3F">
        <w:rPr>
          <w:rFonts w:cs="Arial"/>
          <w:sz w:val="24"/>
        </w:rPr>
        <w:t xml:space="preserve"> manejo de recursos financieros. Dado que este valor </w:t>
      </w:r>
      <w:r w:rsidRPr="00183D7F">
        <w:rPr>
          <w:rFonts w:cs="Arial"/>
          <w:sz w:val="24"/>
        </w:rPr>
        <w:t xml:space="preserve">se </w:t>
      </w:r>
      <w:r w:rsidR="00610C3F">
        <w:rPr>
          <w:rFonts w:cs="Arial"/>
          <w:sz w:val="24"/>
        </w:rPr>
        <w:t xml:space="preserve">está </w:t>
      </w:r>
      <w:r w:rsidRPr="00183D7F">
        <w:rPr>
          <w:rFonts w:cs="Arial"/>
          <w:sz w:val="24"/>
        </w:rPr>
        <w:t>cobra</w:t>
      </w:r>
      <w:r w:rsidR="00610C3F">
        <w:rPr>
          <w:rFonts w:cs="Arial"/>
          <w:sz w:val="24"/>
        </w:rPr>
        <w:t>ndo en</w:t>
      </w:r>
      <w:r w:rsidRPr="00183D7F">
        <w:rPr>
          <w:rFonts w:cs="Arial"/>
          <w:sz w:val="24"/>
        </w:rPr>
        <w:t xml:space="preserve"> la </w:t>
      </w:r>
      <w:r w:rsidRPr="005905DF">
        <w:rPr>
          <w:rFonts w:cs="Arial"/>
          <w:sz w:val="24"/>
        </w:rPr>
        <w:t xml:space="preserve">industria de “Telecomunicaciones” para valorar las concesiones, y que es, </w:t>
      </w:r>
      <w:r w:rsidRPr="00212AEC">
        <w:rPr>
          <w:rFonts w:cs="Arial"/>
          <w:b/>
          <w:sz w:val="24"/>
        </w:rPr>
        <w:t>2.93</w:t>
      </w:r>
      <w:r w:rsidR="005905DF" w:rsidRPr="00212AEC">
        <w:rPr>
          <w:rFonts w:cs="Arial"/>
          <w:b/>
          <w:sz w:val="24"/>
        </w:rPr>
        <w:t>%</w:t>
      </w:r>
      <w:r w:rsidR="005905DF" w:rsidRPr="005905DF">
        <w:rPr>
          <w:rFonts w:cs="Arial"/>
          <w:sz w:val="24"/>
        </w:rPr>
        <w:t xml:space="preserve"> </w:t>
      </w:r>
      <w:r w:rsidRPr="005905DF">
        <w:rPr>
          <w:rFonts w:cs="Arial"/>
          <w:sz w:val="24"/>
        </w:rPr>
        <w:t xml:space="preserve">, </w:t>
      </w:r>
      <w:r w:rsidR="005905DF" w:rsidRPr="005905DF">
        <w:rPr>
          <w:rFonts w:cs="Arial"/>
          <w:sz w:val="24"/>
        </w:rPr>
        <w:t>se conclu</w:t>
      </w:r>
      <w:r w:rsidR="00610C3F">
        <w:rPr>
          <w:rFonts w:cs="Arial"/>
          <w:sz w:val="24"/>
        </w:rPr>
        <w:t>ye</w:t>
      </w:r>
      <w:r w:rsidR="005905DF" w:rsidRPr="005905DF">
        <w:rPr>
          <w:rFonts w:cs="Arial"/>
          <w:sz w:val="24"/>
        </w:rPr>
        <w:t xml:space="preserve"> que </w:t>
      </w:r>
      <w:r w:rsidRPr="005905DF">
        <w:rPr>
          <w:rFonts w:cs="Arial"/>
          <w:sz w:val="24"/>
        </w:rPr>
        <w:t>se debería utilizar el mismo valor para la industria de “Radiodifusión</w:t>
      </w:r>
      <w:r w:rsidR="005905DF" w:rsidRPr="005905DF">
        <w:rPr>
          <w:rFonts w:cs="Arial"/>
          <w:sz w:val="24"/>
        </w:rPr>
        <w:t xml:space="preserve"> Sonora</w:t>
      </w:r>
      <w:r w:rsidRPr="005905DF">
        <w:rPr>
          <w:rFonts w:cs="Arial"/>
          <w:sz w:val="24"/>
        </w:rPr>
        <w:t>”, aun cuando</w:t>
      </w:r>
      <w:r w:rsidRPr="00183D7F">
        <w:rPr>
          <w:rFonts w:cs="Arial"/>
          <w:sz w:val="24"/>
        </w:rPr>
        <w:t xml:space="preserve"> los datos indiquen que la industria de Radiodifusión, tiene una tasa más alta para el retorno de su capital, que la de telecomunicaciones.</w:t>
      </w:r>
    </w:p>
    <w:p w:rsidR="008B1465" w:rsidRPr="00183D7F" w:rsidRDefault="008B1465" w:rsidP="008B1465">
      <w:pPr>
        <w:jc w:val="both"/>
        <w:rPr>
          <w:rFonts w:cs="Arial"/>
          <w:sz w:val="24"/>
        </w:rPr>
      </w:pPr>
    </w:p>
    <w:p w:rsidR="008B1465" w:rsidRPr="00183D7F" w:rsidRDefault="008B1465">
      <w:pPr>
        <w:rPr>
          <w:sz w:val="28"/>
          <w:szCs w:val="24"/>
        </w:rPr>
      </w:pPr>
      <w:bookmarkStart w:id="0" w:name="_GoBack"/>
      <w:bookmarkEnd w:id="0"/>
    </w:p>
    <w:sectPr w:rsidR="008B1465" w:rsidRPr="00183D7F" w:rsidSect="00E11795">
      <w:headerReference w:type="default" r:id="rId18"/>
      <w:footerReference w:type="default" r:id="rId19"/>
      <w:pgSz w:w="12240" w:h="15840"/>
      <w:pgMar w:top="1560" w:right="1701" w:bottom="56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6CF" w:rsidRDefault="00D416CF" w:rsidP="00124029">
      <w:pPr>
        <w:spacing w:after="0" w:line="240" w:lineRule="auto"/>
      </w:pPr>
      <w:r>
        <w:separator/>
      </w:r>
    </w:p>
  </w:endnote>
  <w:endnote w:type="continuationSeparator" w:id="0">
    <w:p w:rsidR="00D416CF" w:rsidRDefault="00D416CF" w:rsidP="0012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0A0" w:firstRow="1" w:lastRow="0" w:firstColumn="1" w:lastColumn="0" w:noHBand="0" w:noVBand="0"/>
    </w:tblPr>
    <w:tblGrid>
      <w:gridCol w:w="3438"/>
      <w:gridCol w:w="1632"/>
      <w:gridCol w:w="4252"/>
    </w:tblGrid>
    <w:tr w:rsidR="00D416CF" w:rsidRPr="00777B8B" w:rsidTr="004E5E3C">
      <w:tc>
        <w:tcPr>
          <w:tcW w:w="3438" w:type="dxa"/>
        </w:tcPr>
        <w:p w:rsidR="00D416CF" w:rsidRPr="00777B8B" w:rsidRDefault="00D416CF" w:rsidP="004E5E3C">
          <w:pPr>
            <w:pStyle w:val="Piedepgina"/>
            <w:tabs>
              <w:tab w:val="left" w:pos="3060"/>
            </w:tabs>
            <w:ind w:right="360"/>
            <w:rPr>
              <w:b/>
              <w:color w:val="D9D9D9"/>
              <w:szCs w:val="16"/>
            </w:rPr>
          </w:pPr>
          <w:r>
            <w:rPr>
              <w:noProof/>
              <w:lang w:eastAsia="es-EC"/>
            </w:rPr>
            <w:drawing>
              <wp:anchor distT="0" distB="0" distL="114300" distR="114300" simplePos="0" relativeHeight="251659264" behindDoc="1" locked="0" layoutInCell="1" allowOverlap="1" wp14:anchorId="52CAF85D" wp14:editId="4FA6D808">
                <wp:simplePos x="0" y="0"/>
                <wp:positionH relativeFrom="page">
                  <wp:posOffset>-1030605</wp:posOffset>
                </wp:positionH>
                <wp:positionV relativeFrom="paragraph">
                  <wp:posOffset>-1586230</wp:posOffset>
                </wp:positionV>
                <wp:extent cx="7826375" cy="3064510"/>
                <wp:effectExtent l="0" t="0" r="3175" b="254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3064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32" w:type="dxa"/>
        </w:tcPr>
        <w:p w:rsidR="00D416CF" w:rsidRPr="00777B8B" w:rsidRDefault="00D416CF" w:rsidP="004E5E3C">
          <w:pPr>
            <w:pStyle w:val="Piedepgina"/>
            <w:rPr>
              <w:b/>
              <w:color w:val="D9D9D9"/>
              <w:szCs w:val="16"/>
              <w:lang w:val="en-US"/>
            </w:rPr>
          </w:pPr>
        </w:p>
      </w:tc>
      <w:tc>
        <w:tcPr>
          <w:tcW w:w="4252" w:type="dxa"/>
        </w:tcPr>
        <w:p w:rsidR="00D416CF" w:rsidRPr="00777B8B" w:rsidRDefault="00D416CF" w:rsidP="004E5E3C">
          <w:pPr>
            <w:pStyle w:val="Piedepgina"/>
            <w:jc w:val="right"/>
            <w:rPr>
              <w:b/>
              <w:color w:val="D9D9D9"/>
              <w:szCs w:val="16"/>
              <w:lang w:val="pt-BR"/>
            </w:rPr>
          </w:pPr>
        </w:p>
      </w:tc>
    </w:tr>
    <w:tr w:rsidR="00D416CF" w:rsidRPr="00777B8B" w:rsidTr="004E5E3C">
      <w:tc>
        <w:tcPr>
          <w:tcW w:w="3438" w:type="dxa"/>
        </w:tcPr>
        <w:p w:rsidR="00D416CF" w:rsidRPr="00777B8B" w:rsidRDefault="00D416CF" w:rsidP="004E5E3C">
          <w:pPr>
            <w:pStyle w:val="Piedepgina"/>
            <w:tabs>
              <w:tab w:val="left" w:pos="3060"/>
            </w:tabs>
            <w:ind w:right="360"/>
            <w:rPr>
              <w:b/>
              <w:color w:val="D9D9D9"/>
              <w:szCs w:val="16"/>
            </w:rPr>
          </w:pPr>
        </w:p>
      </w:tc>
      <w:tc>
        <w:tcPr>
          <w:tcW w:w="1632" w:type="dxa"/>
        </w:tcPr>
        <w:p w:rsidR="00D416CF" w:rsidRPr="00777B8B" w:rsidRDefault="00D416CF" w:rsidP="004E5E3C">
          <w:pPr>
            <w:pStyle w:val="Piedepgina"/>
            <w:rPr>
              <w:b/>
              <w:color w:val="D9D9D9"/>
              <w:szCs w:val="16"/>
              <w:lang w:val="en-US"/>
            </w:rPr>
          </w:pPr>
        </w:p>
      </w:tc>
      <w:tc>
        <w:tcPr>
          <w:tcW w:w="4252" w:type="dxa"/>
        </w:tcPr>
        <w:p w:rsidR="00D416CF" w:rsidRPr="00777B8B" w:rsidRDefault="00D416CF" w:rsidP="004E5E3C">
          <w:pPr>
            <w:pStyle w:val="Piedepgina"/>
            <w:jc w:val="right"/>
            <w:rPr>
              <w:b/>
              <w:color w:val="D9D9D9"/>
              <w:szCs w:val="16"/>
              <w:lang w:val="pt-BR"/>
            </w:rPr>
          </w:pPr>
        </w:p>
      </w:tc>
    </w:tr>
  </w:tbl>
  <w:p w:rsidR="00D416CF" w:rsidRDefault="00D416CF" w:rsidP="00AF10AD">
    <w:pPr>
      <w:pStyle w:val="Piedepgina"/>
      <w:ind w:left="-1701"/>
    </w:pPr>
    <w:r>
      <w:t xml:space="preserve">          </w:t>
    </w:r>
  </w:p>
  <w:p w:rsidR="00D416CF" w:rsidRDefault="00D416CF" w:rsidP="00AF10AD">
    <w:pPr>
      <w:pStyle w:val="Piedepgina"/>
      <w:ind w:left="-1701"/>
    </w:pPr>
  </w:p>
  <w:p w:rsidR="00D416CF" w:rsidRDefault="00D416CF" w:rsidP="00AF10AD">
    <w:pPr>
      <w:pStyle w:val="Piedepgina"/>
      <w:ind w:left="-1701"/>
    </w:pPr>
  </w:p>
  <w:p w:rsidR="00D416CF" w:rsidRPr="001774F1" w:rsidRDefault="00D416CF" w:rsidP="00AF10AD">
    <w:pPr>
      <w:pStyle w:val="Piedepgina"/>
      <w:ind w:left="-1701"/>
    </w:pPr>
    <w:r>
      <w:t xml:space="preserve">          </w:t>
    </w:r>
    <w:r w:rsidRPr="001774F1">
      <w:t xml:space="preserve">Av. Diego de Almagro N31-95 y </w:t>
    </w:r>
    <w:proofErr w:type="spellStart"/>
    <w:r w:rsidRPr="001774F1">
      <w:t>Alpallana</w:t>
    </w:r>
    <w:proofErr w:type="spellEnd"/>
    <w:r w:rsidRPr="001774F1">
      <w:t>. T</w:t>
    </w:r>
    <w:r>
      <w:t>el</w:t>
    </w:r>
    <w:r w:rsidRPr="001774F1">
      <w:t>. (593) 294 7800</w:t>
    </w:r>
  </w:p>
  <w:p w:rsidR="00D416CF" w:rsidRDefault="00D416CF" w:rsidP="00AF10AD">
    <w:pPr>
      <w:pStyle w:val="Encabezado"/>
      <w:framePr w:wrap="around" w:vAnchor="text" w:hAnchor="margin" w:xAlign="right" w:y="126"/>
      <w:rPr>
        <w:rStyle w:val="Nmerodepgina"/>
      </w:rPr>
    </w:pPr>
    <w:r>
      <w:rPr>
        <w:rStyle w:val="Nmerodepgina"/>
      </w:rPr>
      <w:fldChar w:fldCharType="begin"/>
    </w:r>
    <w:r>
      <w:rPr>
        <w:rStyle w:val="Nmerodepgina"/>
      </w:rPr>
      <w:instrText xml:space="preserve">PAGE  </w:instrText>
    </w:r>
    <w:r>
      <w:rPr>
        <w:rStyle w:val="Nmerodepgina"/>
      </w:rPr>
      <w:fldChar w:fldCharType="separate"/>
    </w:r>
    <w:r w:rsidR="00BA56A3">
      <w:rPr>
        <w:rStyle w:val="Nmerodepgina"/>
        <w:noProof/>
      </w:rPr>
      <w:t>1</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BA56A3">
      <w:rPr>
        <w:rStyle w:val="Nmerodepgina"/>
        <w:noProof/>
      </w:rPr>
      <w:t>22</w:t>
    </w:r>
    <w:r>
      <w:rPr>
        <w:rStyle w:val="Nmerodepgina"/>
      </w:rPr>
      <w:fldChar w:fldCharType="end"/>
    </w:r>
  </w:p>
  <w:p w:rsidR="00D416CF" w:rsidRDefault="00D416CF" w:rsidP="00AF10AD">
    <w:pPr>
      <w:pStyle w:val="Piedepgina"/>
      <w:ind w:left="-1701"/>
    </w:pPr>
    <w:r w:rsidRPr="001774F1">
      <w:t xml:space="preserve">          1800 567 567 Casilla 17-07-977 </w:t>
    </w:r>
  </w:p>
  <w:p w:rsidR="00D416CF" w:rsidRDefault="00D416CF" w:rsidP="00AF10AD">
    <w:pPr>
      <w:pStyle w:val="Piedepgina"/>
      <w:ind w:left="-1701"/>
    </w:pPr>
    <w:r>
      <w:t xml:space="preserve">          www.arcotel.gob.ec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6CF" w:rsidRDefault="00D416CF" w:rsidP="00124029">
      <w:pPr>
        <w:spacing w:after="0" w:line="240" w:lineRule="auto"/>
      </w:pPr>
      <w:r>
        <w:separator/>
      </w:r>
    </w:p>
  </w:footnote>
  <w:footnote w:type="continuationSeparator" w:id="0">
    <w:p w:rsidR="00D416CF" w:rsidRDefault="00D416CF" w:rsidP="00124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CF" w:rsidRDefault="00D416CF" w:rsidP="00AF10AD">
    <w:pPr>
      <w:pStyle w:val="Encabezado"/>
      <w:jc w:val="right"/>
    </w:pPr>
    <w:r>
      <w:rPr>
        <w:noProof/>
        <w:lang w:eastAsia="es-EC"/>
      </w:rPr>
      <w:drawing>
        <wp:inline distT="0" distB="0" distL="0" distR="0" wp14:anchorId="4B5E6817" wp14:editId="7FCC1192">
          <wp:extent cx="2494280" cy="563245"/>
          <wp:effectExtent l="0" t="0" r="127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563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326790A"/>
    <w:lvl w:ilvl="0">
      <w:start w:val="1"/>
      <w:numFmt w:val="bullet"/>
      <w:pStyle w:val="Listaclara-nfasis1"/>
      <w:lvlText w:val=""/>
      <w:lvlJc w:val="left"/>
      <w:pPr>
        <w:tabs>
          <w:tab w:val="num" w:pos="360"/>
        </w:tabs>
        <w:ind w:left="360" w:hanging="360"/>
      </w:pPr>
      <w:rPr>
        <w:rFonts w:ascii="Symbol" w:hAnsi="Symbol" w:hint="default"/>
      </w:rPr>
    </w:lvl>
  </w:abstractNum>
  <w:abstractNum w:abstractNumId="1">
    <w:nsid w:val="01541A00"/>
    <w:multiLevelType w:val="multilevel"/>
    <w:tmpl w:val="62D28AA6"/>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
    <w:nsid w:val="01BE07FC"/>
    <w:multiLevelType w:val="hybridMultilevel"/>
    <w:tmpl w:val="7C52D75E"/>
    <w:lvl w:ilvl="0" w:tplc="D36A0830">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47A7504"/>
    <w:multiLevelType w:val="multilevel"/>
    <w:tmpl w:val="9F561D8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nsid w:val="04D33D08"/>
    <w:multiLevelType w:val="multilevel"/>
    <w:tmpl w:val="48EC0950"/>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0B6E26B8"/>
    <w:multiLevelType w:val="hybridMultilevel"/>
    <w:tmpl w:val="1F44F962"/>
    <w:lvl w:ilvl="0" w:tplc="C9F08CE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nsid w:val="107D4380"/>
    <w:multiLevelType w:val="multilevel"/>
    <w:tmpl w:val="6FB01A30"/>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7">
    <w:nsid w:val="12DB0147"/>
    <w:multiLevelType w:val="multilevel"/>
    <w:tmpl w:val="9F561D8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17821C88"/>
    <w:multiLevelType w:val="multilevel"/>
    <w:tmpl w:val="AA5ACD60"/>
    <w:lvl w:ilvl="0">
      <w:start w:val="5"/>
      <w:numFmt w:val="decimal"/>
      <w:lvlText w:val="%1"/>
      <w:lvlJc w:val="left"/>
      <w:pPr>
        <w:ind w:left="435" w:hanging="435"/>
      </w:pPr>
      <w:rPr>
        <w:rFonts w:hint="default"/>
      </w:rPr>
    </w:lvl>
    <w:lvl w:ilvl="1">
      <w:start w:val="1"/>
      <w:numFmt w:val="decimal"/>
      <w:lvlText w:val="%1.%2"/>
      <w:lvlJc w:val="left"/>
      <w:pPr>
        <w:ind w:left="1425" w:hanging="43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9">
    <w:nsid w:val="1E292F06"/>
    <w:multiLevelType w:val="multilevel"/>
    <w:tmpl w:val="9F561D8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nsid w:val="1E777733"/>
    <w:multiLevelType w:val="hybridMultilevel"/>
    <w:tmpl w:val="4F86211C"/>
    <w:lvl w:ilvl="0" w:tplc="C090EB9A">
      <w:start w:val="1"/>
      <w:numFmt w:val="bullet"/>
      <w:pStyle w:val="Sangradetextonormal"/>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17243E8"/>
    <w:multiLevelType w:val="hybridMultilevel"/>
    <w:tmpl w:val="EC1CA5F6"/>
    <w:lvl w:ilvl="0" w:tplc="3E9417E4">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2E488F"/>
    <w:multiLevelType w:val="multilevel"/>
    <w:tmpl w:val="9F561D8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C2E0CEE"/>
    <w:multiLevelType w:val="hybridMultilevel"/>
    <w:tmpl w:val="584A6C1C"/>
    <w:lvl w:ilvl="0" w:tplc="E4F6350A">
      <w:start w:val="1"/>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4294AB6"/>
    <w:multiLevelType w:val="hybridMultilevel"/>
    <w:tmpl w:val="7110166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5">
    <w:nsid w:val="402E63B0"/>
    <w:multiLevelType w:val="multilevel"/>
    <w:tmpl w:val="3D2A072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6">
    <w:nsid w:val="48645565"/>
    <w:multiLevelType w:val="hybridMultilevel"/>
    <w:tmpl w:val="C22822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B8741BB"/>
    <w:multiLevelType w:val="hybridMultilevel"/>
    <w:tmpl w:val="F7C4D898"/>
    <w:lvl w:ilvl="0" w:tplc="FEA4A128">
      <w:start w:val="1"/>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1F02034"/>
    <w:multiLevelType w:val="multilevel"/>
    <w:tmpl w:val="86669348"/>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9">
    <w:nsid w:val="5BD83591"/>
    <w:multiLevelType w:val="hybridMultilevel"/>
    <w:tmpl w:val="281637C6"/>
    <w:lvl w:ilvl="0" w:tplc="E4F6350A">
      <w:start w:val="1"/>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1B119EC"/>
    <w:multiLevelType w:val="multilevel"/>
    <w:tmpl w:val="9F561D8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622748D0"/>
    <w:multiLevelType w:val="hybridMultilevel"/>
    <w:tmpl w:val="7646E4F4"/>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42A7E10"/>
    <w:multiLevelType w:val="multilevel"/>
    <w:tmpl w:val="E458C2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73B1913"/>
    <w:multiLevelType w:val="multilevel"/>
    <w:tmpl w:val="927E5CFE"/>
    <w:lvl w:ilvl="0">
      <w:start w:val="2"/>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6DF644C8"/>
    <w:multiLevelType w:val="multilevel"/>
    <w:tmpl w:val="E2A473C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5">
    <w:nsid w:val="70820D57"/>
    <w:multiLevelType w:val="multilevel"/>
    <w:tmpl w:val="9F561D8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6">
    <w:nsid w:val="712E43B7"/>
    <w:multiLevelType w:val="multilevel"/>
    <w:tmpl w:val="18025164"/>
    <w:lvl w:ilvl="0">
      <w:start w:val="2"/>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7">
    <w:nsid w:val="7D770326"/>
    <w:multiLevelType w:val="hybridMultilevel"/>
    <w:tmpl w:val="12C21C00"/>
    <w:lvl w:ilvl="0" w:tplc="3E9417E4">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DB30286"/>
    <w:multiLevelType w:val="hybridMultilevel"/>
    <w:tmpl w:val="7110166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num w:numId="1">
    <w:abstractNumId w:val="21"/>
  </w:num>
  <w:num w:numId="2">
    <w:abstractNumId w:val="22"/>
  </w:num>
  <w:num w:numId="3">
    <w:abstractNumId w:val="17"/>
  </w:num>
  <w:num w:numId="4">
    <w:abstractNumId w:val="19"/>
  </w:num>
  <w:num w:numId="5">
    <w:abstractNumId w:val="15"/>
  </w:num>
  <w:num w:numId="6">
    <w:abstractNumId w:val="24"/>
  </w:num>
  <w:num w:numId="7">
    <w:abstractNumId w:val="11"/>
  </w:num>
  <w:num w:numId="8">
    <w:abstractNumId w:val="27"/>
  </w:num>
  <w:num w:numId="9">
    <w:abstractNumId w:val="6"/>
  </w:num>
  <w:num w:numId="10">
    <w:abstractNumId w:val="5"/>
  </w:num>
  <w:num w:numId="11">
    <w:abstractNumId w:val="1"/>
  </w:num>
  <w:num w:numId="12">
    <w:abstractNumId w:val="16"/>
  </w:num>
  <w:num w:numId="13">
    <w:abstractNumId w:val="20"/>
  </w:num>
  <w:num w:numId="14">
    <w:abstractNumId w:val="4"/>
  </w:num>
  <w:num w:numId="15">
    <w:abstractNumId w:val="8"/>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14"/>
  </w:num>
  <w:num w:numId="22">
    <w:abstractNumId w:val="26"/>
  </w:num>
  <w:num w:numId="23">
    <w:abstractNumId w:val="23"/>
  </w:num>
  <w:num w:numId="24">
    <w:abstractNumId w:val="7"/>
  </w:num>
  <w:num w:numId="25">
    <w:abstractNumId w:val="9"/>
  </w:num>
  <w:num w:numId="26">
    <w:abstractNumId w:val="18"/>
  </w:num>
  <w:num w:numId="27">
    <w:abstractNumId w:val="12"/>
  </w:num>
  <w:num w:numId="28">
    <w:abstractNumId w:val="3"/>
  </w:num>
  <w:num w:numId="29">
    <w:abstractNumId w:val="0"/>
  </w:num>
  <w:num w:numId="30">
    <w:abstractNumId w:val="0"/>
    <w:lvlOverride w:ilvl="0"/>
  </w:num>
  <w:num w:numId="31">
    <w:abstractNumId w:val="10"/>
  </w:num>
  <w:num w:numId="3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F9"/>
    <w:rsid w:val="00000768"/>
    <w:rsid w:val="00010776"/>
    <w:rsid w:val="00010E92"/>
    <w:rsid w:val="00012359"/>
    <w:rsid w:val="00012C00"/>
    <w:rsid w:val="00017D42"/>
    <w:rsid w:val="000301EE"/>
    <w:rsid w:val="0003573F"/>
    <w:rsid w:val="00046C96"/>
    <w:rsid w:val="00063590"/>
    <w:rsid w:val="00075C65"/>
    <w:rsid w:val="0008169E"/>
    <w:rsid w:val="000828EC"/>
    <w:rsid w:val="0008316F"/>
    <w:rsid w:val="00085DF7"/>
    <w:rsid w:val="00086E01"/>
    <w:rsid w:val="000871FC"/>
    <w:rsid w:val="000B218B"/>
    <w:rsid w:val="000D0DD9"/>
    <w:rsid w:val="000D2BC8"/>
    <w:rsid w:val="000D5C0F"/>
    <w:rsid w:val="000D68D7"/>
    <w:rsid w:val="00112BC2"/>
    <w:rsid w:val="001143EA"/>
    <w:rsid w:val="00124029"/>
    <w:rsid w:val="00135420"/>
    <w:rsid w:val="00146F15"/>
    <w:rsid w:val="00146F69"/>
    <w:rsid w:val="00160076"/>
    <w:rsid w:val="00160792"/>
    <w:rsid w:val="00164344"/>
    <w:rsid w:val="001747C6"/>
    <w:rsid w:val="00180693"/>
    <w:rsid w:val="00183C64"/>
    <w:rsid w:val="00183D7F"/>
    <w:rsid w:val="00184A03"/>
    <w:rsid w:val="0019258A"/>
    <w:rsid w:val="00197D93"/>
    <w:rsid w:val="001A1674"/>
    <w:rsid w:val="001B3FE0"/>
    <w:rsid w:val="001B7EEE"/>
    <w:rsid w:val="001C5F56"/>
    <w:rsid w:val="001D14D9"/>
    <w:rsid w:val="001E41DD"/>
    <w:rsid w:val="00212A20"/>
    <w:rsid w:val="00212AEC"/>
    <w:rsid w:val="002159A8"/>
    <w:rsid w:val="00216A7F"/>
    <w:rsid w:val="002240C1"/>
    <w:rsid w:val="00225220"/>
    <w:rsid w:val="00234777"/>
    <w:rsid w:val="002401C1"/>
    <w:rsid w:val="002450B7"/>
    <w:rsid w:val="002608F2"/>
    <w:rsid w:val="002806DD"/>
    <w:rsid w:val="00283562"/>
    <w:rsid w:val="00290484"/>
    <w:rsid w:val="002A0529"/>
    <w:rsid w:val="002A4D39"/>
    <w:rsid w:val="002A70E0"/>
    <w:rsid w:val="002B0455"/>
    <w:rsid w:val="002B55C6"/>
    <w:rsid w:val="002E44F3"/>
    <w:rsid w:val="002F3530"/>
    <w:rsid w:val="002F3E1D"/>
    <w:rsid w:val="002F4C27"/>
    <w:rsid w:val="00304CF5"/>
    <w:rsid w:val="003105AC"/>
    <w:rsid w:val="00311DB4"/>
    <w:rsid w:val="00320CA9"/>
    <w:rsid w:val="003305CD"/>
    <w:rsid w:val="00330AE7"/>
    <w:rsid w:val="0036321D"/>
    <w:rsid w:val="00367760"/>
    <w:rsid w:val="00370444"/>
    <w:rsid w:val="00372D1F"/>
    <w:rsid w:val="003779C5"/>
    <w:rsid w:val="003A30D7"/>
    <w:rsid w:val="003A383B"/>
    <w:rsid w:val="003C4562"/>
    <w:rsid w:val="003C7830"/>
    <w:rsid w:val="003D162C"/>
    <w:rsid w:val="003E625B"/>
    <w:rsid w:val="003E65DB"/>
    <w:rsid w:val="003F4D3E"/>
    <w:rsid w:val="003F5A99"/>
    <w:rsid w:val="004007E2"/>
    <w:rsid w:val="00403E31"/>
    <w:rsid w:val="004339BC"/>
    <w:rsid w:val="00433DB3"/>
    <w:rsid w:val="00441AC9"/>
    <w:rsid w:val="00451C6D"/>
    <w:rsid w:val="00455D72"/>
    <w:rsid w:val="004562B5"/>
    <w:rsid w:val="00461586"/>
    <w:rsid w:val="004B4D10"/>
    <w:rsid w:val="004B502E"/>
    <w:rsid w:val="004D79A3"/>
    <w:rsid w:val="004E517A"/>
    <w:rsid w:val="004E5E3C"/>
    <w:rsid w:val="004F46DA"/>
    <w:rsid w:val="005071F3"/>
    <w:rsid w:val="00507216"/>
    <w:rsid w:val="00511F83"/>
    <w:rsid w:val="00514912"/>
    <w:rsid w:val="005170CF"/>
    <w:rsid w:val="00517987"/>
    <w:rsid w:val="00520532"/>
    <w:rsid w:val="00521DE1"/>
    <w:rsid w:val="005223F7"/>
    <w:rsid w:val="005239FB"/>
    <w:rsid w:val="005255FA"/>
    <w:rsid w:val="005256E6"/>
    <w:rsid w:val="005307CF"/>
    <w:rsid w:val="00546294"/>
    <w:rsid w:val="00554754"/>
    <w:rsid w:val="00556D07"/>
    <w:rsid w:val="00557631"/>
    <w:rsid w:val="005614EC"/>
    <w:rsid w:val="00562477"/>
    <w:rsid w:val="00574B5D"/>
    <w:rsid w:val="005770B1"/>
    <w:rsid w:val="00580058"/>
    <w:rsid w:val="00581705"/>
    <w:rsid w:val="005905DF"/>
    <w:rsid w:val="005913C6"/>
    <w:rsid w:val="00597F70"/>
    <w:rsid w:val="005B37B8"/>
    <w:rsid w:val="005B61FD"/>
    <w:rsid w:val="005C166A"/>
    <w:rsid w:val="005C3565"/>
    <w:rsid w:val="005C3B9F"/>
    <w:rsid w:val="005D5FE1"/>
    <w:rsid w:val="005E477E"/>
    <w:rsid w:val="005E7E3D"/>
    <w:rsid w:val="005F5226"/>
    <w:rsid w:val="0060063A"/>
    <w:rsid w:val="0060399F"/>
    <w:rsid w:val="00610C3F"/>
    <w:rsid w:val="0061190E"/>
    <w:rsid w:val="00632FF6"/>
    <w:rsid w:val="00633FAC"/>
    <w:rsid w:val="00642C4A"/>
    <w:rsid w:val="006472DD"/>
    <w:rsid w:val="0067385F"/>
    <w:rsid w:val="00674640"/>
    <w:rsid w:val="006830DF"/>
    <w:rsid w:val="00683820"/>
    <w:rsid w:val="00686E5B"/>
    <w:rsid w:val="00687DC8"/>
    <w:rsid w:val="006912EE"/>
    <w:rsid w:val="0069368B"/>
    <w:rsid w:val="006A2427"/>
    <w:rsid w:val="006A3108"/>
    <w:rsid w:val="006C0C2F"/>
    <w:rsid w:val="006C2384"/>
    <w:rsid w:val="006C2D27"/>
    <w:rsid w:val="006C7E46"/>
    <w:rsid w:val="006D4A2B"/>
    <w:rsid w:val="006E5883"/>
    <w:rsid w:val="006F00BD"/>
    <w:rsid w:val="0070093E"/>
    <w:rsid w:val="007056A0"/>
    <w:rsid w:val="00710845"/>
    <w:rsid w:val="00731518"/>
    <w:rsid w:val="007416FC"/>
    <w:rsid w:val="007454E5"/>
    <w:rsid w:val="007612EB"/>
    <w:rsid w:val="00772E98"/>
    <w:rsid w:val="007739F7"/>
    <w:rsid w:val="00783EB8"/>
    <w:rsid w:val="007933E2"/>
    <w:rsid w:val="00793F46"/>
    <w:rsid w:val="007966E4"/>
    <w:rsid w:val="007A1B2D"/>
    <w:rsid w:val="007B4863"/>
    <w:rsid w:val="007C1EF9"/>
    <w:rsid w:val="007D0DDF"/>
    <w:rsid w:val="007D7FBE"/>
    <w:rsid w:val="007F24F2"/>
    <w:rsid w:val="00800CB1"/>
    <w:rsid w:val="008069CD"/>
    <w:rsid w:val="00810A77"/>
    <w:rsid w:val="008248D6"/>
    <w:rsid w:val="008534E8"/>
    <w:rsid w:val="00874908"/>
    <w:rsid w:val="00890444"/>
    <w:rsid w:val="0089165D"/>
    <w:rsid w:val="008921BA"/>
    <w:rsid w:val="008A144C"/>
    <w:rsid w:val="008A22FA"/>
    <w:rsid w:val="008A3B90"/>
    <w:rsid w:val="008B1465"/>
    <w:rsid w:val="008C3EAB"/>
    <w:rsid w:val="008E3D8C"/>
    <w:rsid w:val="008E5783"/>
    <w:rsid w:val="008E74CC"/>
    <w:rsid w:val="008F09CD"/>
    <w:rsid w:val="008F0DC8"/>
    <w:rsid w:val="008F2506"/>
    <w:rsid w:val="009042B9"/>
    <w:rsid w:val="00905B86"/>
    <w:rsid w:val="00912957"/>
    <w:rsid w:val="009216A8"/>
    <w:rsid w:val="009258A1"/>
    <w:rsid w:val="00925C17"/>
    <w:rsid w:val="009335BF"/>
    <w:rsid w:val="00946CB7"/>
    <w:rsid w:val="009567D3"/>
    <w:rsid w:val="009576D0"/>
    <w:rsid w:val="00962AA0"/>
    <w:rsid w:val="00966881"/>
    <w:rsid w:val="009677E1"/>
    <w:rsid w:val="00971596"/>
    <w:rsid w:val="009801AE"/>
    <w:rsid w:val="009809E1"/>
    <w:rsid w:val="00983DA7"/>
    <w:rsid w:val="00990824"/>
    <w:rsid w:val="009A6879"/>
    <w:rsid w:val="009C0811"/>
    <w:rsid w:val="009C5B44"/>
    <w:rsid w:val="009C6F04"/>
    <w:rsid w:val="009D5B79"/>
    <w:rsid w:val="009D66B7"/>
    <w:rsid w:val="009D76DC"/>
    <w:rsid w:val="009E6193"/>
    <w:rsid w:val="00A03722"/>
    <w:rsid w:val="00A16A80"/>
    <w:rsid w:val="00A311B2"/>
    <w:rsid w:val="00A52B33"/>
    <w:rsid w:val="00A53A8B"/>
    <w:rsid w:val="00A578C0"/>
    <w:rsid w:val="00A75118"/>
    <w:rsid w:val="00A825A8"/>
    <w:rsid w:val="00A844B5"/>
    <w:rsid w:val="00A963A3"/>
    <w:rsid w:val="00AB1049"/>
    <w:rsid w:val="00AD4BB9"/>
    <w:rsid w:val="00AD4F30"/>
    <w:rsid w:val="00AE1FFE"/>
    <w:rsid w:val="00AE63CD"/>
    <w:rsid w:val="00AF10AD"/>
    <w:rsid w:val="00B0045E"/>
    <w:rsid w:val="00B100AF"/>
    <w:rsid w:val="00B21D68"/>
    <w:rsid w:val="00B26DD2"/>
    <w:rsid w:val="00B3601A"/>
    <w:rsid w:val="00B43050"/>
    <w:rsid w:val="00B515D8"/>
    <w:rsid w:val="00B54E04"/>
    <w:rsid w:val="00B613A7"/>
    <w:rsid w:val="00B624B1"/>
    <w:rsid w:val="00B62621"/>
    <w:rsid w:val="00B65DF5"/>
    <w:rsid w:val="00B66889"/>
    <w:rsid w:val="00B70146"/>
    <w:rsid w:val="00B707D0"/>
    <w:rsid w:val="00B71A73"/>
    <w:rsid w:val="00B73483"/>
    <w:rsid w:val="00B741D2"/>
    <w:rsid w:val="00B76005"/>
    <w:rsid w:val="00B815B3"/>
    <w:rsid w:val="00B84369"/>
    <w:rsid w:val="00B90AC6"/>
    <w:rsid w:val="00B9448E"/>
    <w:rsid w:val="00B96300"/>
    <w:rsid w:val="00B969F1"/>
    <w:rsid w:val="00BA455E"/>
    <w:rsid w:val="00BA56A3"/>
    <w:rsid w:val="00BA6D40"/>
    <w:rsid w:val="00BB0D8A"/>
    <w:rsid w:val="00BC1A82"/>
    <w:rsid w:val="00BE0088"/>
    <w:rsid w:val="00BE4A9A"/>
    <w:rsid w:val="00BE601E"/>
    <w:rsid w:val="00BE7162"/>
    <w:rsid w:val="00C019EC"/>
    <w:rsid w:val="00C027F3"/>
    <w:rsid w:val="00C1333D"/>
    <w:rsid w:val="00C264AC"/>
    <w:rsid w:val="00C30D9F"/>
    <w:rsid w:val="00C45C5F"/>
    <w:rsid w:val="00C5118C"/>
    <w:rsid w:val="00C768FD"/>
    <w:rsid w:val="00C773C1"/>
    <w:rsid w:val="00C77420"/>
    <w:rsid w:val="00C82DCF"/>
    <w:rsid w:val="00C861C6"/>
    <w:rsid w:val="00CA4424"/>
    <w:rsid w:val="00CA5ACD"/>
    <w:rsid w:val="00CA7823"/>
    <w:rsid w:val="00CC0E52"/>
    <w:rsid w:val="00CC2134"/>
    <w:rsid w:val="00CC6160"/>
    <w:rsid w:val="00CD6FF7"/>
    <w:rsid w:val="00CE450A"/>
    <w:rsid w:val="00CF54FA"/>
    <w:rsid w:val="00CF648C"/>
    <w:rsid w:val="00D07674"/>
    <w:rsid w:val="00D1009A"/>
    <w:rsid w:val="00D36A8E"/>
    <w:rsid w:val="00D37240"/>
    <w:rsid w:val="00D416CF"/>
    <w:rsid w:val="00D474F5"/>
    <w:rsid w:val="00D54CB9"/>
    <w:rsid w:val="00D84426"/>
    <w:rsid w:val="00D9330E"/>
    <w:rsid w:val="00D93A45"/>
    <w:rsid w:val="00DA40E4"/>
    <w:rsid w:val="00DA5D52"/>
    <w:rsid w:val="00DB5A01"/>
    <w:rsid w:val="00DC3090"/>
    <w:rsid w:val="00DD6EDD"/>
    <w:rsid w:val="00DE76B3"/>
    <w:rsid w:val="00DF1E06"/>
    <w:rsid w:val="00DF6A11"/>
    <w:rsid w:val="00E07024"/>
    <w:rsid w:val="00E07373"/>
    <w:rsid w:val="00E11795"/>
    <w:rsid w:val="00E13096"/>
    <w:rsid w:val="00E24763"/>
    <w:rsid w:val="00E41B88"/>
    <w:rsid w:val="00E46E78"/>
    <w:rsid w:val="00E52D7C"/>
    <w:rsid w:val="00E63693"/>
    <w:rsid w:val="00E6632F"/>
    <w:rsid w:val="00E85BC4"/>
    <w:rsid w:val="00E9705C"/>
    <w:rsid w:val="00EA053D"/>
    <w:rsid w:val="00EA43FD"/>
    <w:rsid w:val="00EA5F95"/>
    <w:rsid w:val="00EC6319"/>
    <w:rsid w:val="00EE5BD5"/>
    <w:rsid w:val="00EF0CA3"/>
    <w:rsid w:val="00F01A44"/>
    <w:rsid w:val="00F02333"/>
    <w:rsid w:val="00F04525"/>
    <w:rsid w:val="00F16F10"/>
    <w:rsid w:val="00F24BB1"/>
    <w:rsid w:val="00F36276"/>
    <w:rsid w:val="00F601DA"/>
    <w:rsid w:val="00F73629"/>
    <w:rsid w:val="00F80D6A"/>
    <w:rsid w:val="00F863A7"/>
    <w:rsid w:val="00F975D0"/>
    <w:rsid w:val="00FA4614"/>
    <w:rsid w:val="00FB0BBF"/>
    <w:rsid w:val="00FB3E7B"/>
    <w:rsid w:val="00FB7845"/>
    <w:rsid w:val="00FC0E1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573D944-4596-41F1-9B97-42B2635D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D4A2B"/>
    <w:pPr>
      <w:keepNext/>
      <w:widowControl w:val="0"/>
      <w:spacing w:after="0" w:line="240" w:lineRule="auto"/>
      <w:jc w:val="both"/>
      <w:outlineLvl w:val="0"/>
    </w:pPr>
    <w:rPr>
      <w:rFonts w:ascii="Arial" w:eastAsia="Times New Roman" w:hAnsi="Arial" w:cs="Times New Roman"/>
      <w:b/>
      <w:sz w:val="20"/>
      <w:szCs w:val="20"/>
      <w:lang w:val="es-ES_tradnl" w:eastAsia="es-ES"/>
    </w:rPr>
  </w:style>
  <w:style w:type="paragraph" w:styleId="Ttulo2">
    <w:name w:val="heading 2"/>
    <w:basedOn w:val="Normal"/>
    <w:next w:val="Normal"/>
    <w:link w:val="Ttulo2Car"/>
    <w:semiHidden/>
    <w:unhideWhenUsed/>
    <w:qFormat/>
    <w:rsid w:val="006D4A2B"/>
    <w:pPr>
      <w:keepNext/>
      <w:spacing w:after="0" w:line="240" w:lineRule="auto"/>
      <w:jc w:val="both"/>
      <w:outlineLvl w:val="1"/>
    </w:pPr>
    <w:rPr>
      <w:rFonts w:ascii="Arial" w:eastAsia="Times New Roman" w:hAnsi="Arial" w:cs="Times New Roman"/>
      <w:b/>
      <w:bCs/>
      <w:szCs w:val="20"/>
      <w:lang w:val="es-ES" w:eastAsia="es-ES"/>
    </w:rPr>
  </w:style>
  <w:style w:type="paragraph" w:styleId="Ttulo3">
    <w:name w:val="heading 3"/>
    <w:basedOn w:val="Normal"/>
    <w:next w:val="Normal"/>
    <w:link w:val="Ttulo3Car"/>
    <w:semiHidden/>
    <w:unhideWhenUsed/>
    <w:qFormat/>
    <w:rsid w:val="006D4A2B"/>
    <w:pPr>
      <w:keepNext/>
      <w:spacing w:after="0" w:line="240" w:lineRule="auto"/>
      <w:outlineLvl w:val="2"/>
    </w:pPr>
    <w:rPr>
      <w:rFonts w:ascii="Arial" w:eastAsia="Times New Roman" w:hAnsi="Arial" w:cs="Arial"/>
      <w:b/>
      <w:bCs/>
      <w:sz w:val="24"/>
      <w:szCs w:val="20"/>
      <w:lang w:val="es-ES" w:eastAsia="es-ES"/>
    </w:rPr>
  </w:style>
  <w:style w:type="paragraph" w:styleId="Ttulo4">
    <w:name w:val="heading 4"/>
    <w:basedOn w:val="Normal"/>
    <w:next w:val="Normal"/>
    <w:link w:val="Ttulo4Car"/>
    <w:semiHidden/>
    <w:unhideWhenUsed/>
    <w:qFormat/>
    <w:rsid w:val="006D4A2B"/>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semiHidden/>
    <w:unhideWhenUsed/>
    <w:qFormat/>
    <w:rsid w:val="006D4A2B"/>
    <w:pPr>
      <w:keepNext/>
      <w:spacing w:after="0" w:line="240" w:lineRule="auto"/>
      <w:outlineLvl w:val="4"/>
    </w:pPr>
    <w:rPr>
      <w:rFonts w:ascii="Arial" w:eastAsia="Times New Roman" w:hAnsi="Arial" w:cs="Times New Roman"/>
      <w:b/>
      <w:bCs/>
      <w:sz w:val="24"/>
      <w:szCs w:val="24"/>
      <w:u w:val="single"/>
      <w:lang w:val="es-ES" w:eastAsia="es-ES"/>
    </w:rPr>
  </w:style>
  <w:style w:type="paragraph" w:styleId="Ttulo6">
    <w:name w:val="heading 6"/>
    <w:basedOn w:val="Normal"/>
    <w:next w:val="Normal"/>
    <w:link w:val="Ttulo6Car"/>
    <w:semiHidden/>
    <w:unhideWhenUsed/>
    <w:qFormat/>
    <w:rsid w:val="006D4A2B"/>
    <w:pPr>
      <w:keepNext/>
      <w:spacing w:after="0" w:line="240" w:lineRule="auto"/>
      <w:jc w:val="center"/>
      <w:outlineLvl w:val="5"/>
    </w:pPr>
    <w:rPr>
      <w:rFonts w:ascii="Arial" w:eastAsia="Times New Roman" w:hAnsi="Arial" w:cs="Arial"/>
      <w:b/>
      <w:sz w:val="16"/>
      <w:szCs w:val="20"/>
      <w:lang w:val="es-ES" w:eastAsia="es-ES"/>
    </w:rPr>
  </w:style>
  <w:style w:type="paragraph" w:styleId="Ttulo7">
    <w:name w:val="heading 7"/>
    <w:basedOn w:val="Normal"/>
    <w:next w:val="Normal"/>
    <w:link w:val="Ttulo7Car"/>
    <w:uiPriority w:val="99"/>
    <w:semiHidden/>
    <w:unhideWhenUsed/>
    <w:qFormat/>
    <w:rsid w:val="006D4A2B"/>
    <w:pPr>
      <w:keepNext/>
      <w:spacing w:after="0" w:line="240" w:lineRule="auto"/>
      <w:jc w:val="both"/>
      <w:outlineLvl w:val="6"/>
    </w:pPr>
    <w:rPr>
      <w:rFonts w:ascii="Arial" w:eastAsia="Times New Roman" w:hAnsi="Arial" w:cs="Arial"/>
      <w:b/>
      <w:bCs/>
      <w:sz w:val="16"/>
      <w:szCs w:val="24"/>
      <w:lang w:val="es-ES" w:eastAsia="es-ES"/>
    </w:rPr>
  </w:style>
  <w:style w:type="paragraph" w:styleId="Ttulo9">
    <w:name w:val="heading 9"/>
    <w:basedOn w:val="Normal"/>
    <w:next w:val="Normal"/>
    <w:link w:val="Ttulo9Car"/>
    <w:uiPriority w:val="99"/>
    <w:semiHidden/>
    <w:unhideWhenUsed/>
    <w:qFormat/>
    <w:rsid w:val="006D4A2B"/>
    <w:pPr>
      <w:keepNext/>
      <w:spacing w:after="0" w:line="240" w:lineRule="auto"/>
      <w:ind w:firstLine="658"/>
      <w:outlineLvl w:val="8"/>
    </w:pPr>
    <w:rPr>
      <w:rFonts w:ascii="Arial" w:eastAsia="Times New Roman" w:hAnsi="Arial" w:cs="Arial"/>
      <w:b/>
      <w:bCs/>
      <w:sz w:val="20"/>
      <w:szCs w:val="1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C1EF9"/>
    <w:rPr>
      <w:color w:val="808080"/>
    </w:rPr>
  </w:style>
  <w:style w:type="paragraph" w:styleId="Textodeglobo">
    <w:name w:val="Balloon Text"/>
    <w:basedOn w:val="Normal"/>
    <w:link w:val="TextodegloboCar"/>
    <w:uiPriority w:val="99"/>
    <w:semiHidden/>
    <w:unhideWhenUsed/>
    <w:rsid w:val="007C1E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EF9"/>
    <w:rPr>
      <w:rFonts w:ascii="Tahoma" w:hAnsi="Tahoma" w:cs="Tahoma"/>
      <w:sz w:val="16"/>
      <w:szCs w:val="16"/>
    </w:rPr>
  </w:style>
  <w:style w:type="paragraph" w:styleId="Prrafodelista">
    <w:name w:val="List Paragraph"/>
    <w:basedOn w:val="Normal"/>
    <w:uiPriority w:val="34"/>
    <w:qFormat/>
    <w:rsid w:val="002A70E0"/>
    <w:pPr>
      <w:ind w:left="720"/>
      <w:contextualSpacing/>
    </w:pPr>
  </w:style>
  <w:style w:type="paragraph" w:styleId="Textonotapie">
    <w:name w:val="footnote text"/>
    <w:basedOn w:val="Normal"/>
    <w:link w:val="TextonotapieCar"/>
    <w:uiPriority w:val="99"/>
    <w:semiHidden/>
    <w:unhideWhenUsed/>
    <w:rsid w:val="001240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4029"/>
    <w:rPr>
      <w:sz w:val="20"/>
      <w:szCs w:val="20"/>
    </w:rPr>
  </w:style>
  <w:style w:type="character" w:styleId="Refdenotaalpie">
    <w:name w:val="footnote reference"/>
    <w:basedOn w:val="Fuentedeprrafopredeter"/>
    <w:semiHidden/>
    <w:unhideWhenUsed/>
    <w:rsid w:val="00124029"/>
    <w:rPr>
      <w:vertAlign w:val="superscript"/>
    </w:rPr>
  </w:style>
  <w:style w:type="paragraph" w:styleId="Encabezado">
    <w:name w:val="header"/>
    <w:basedOn w:val="Normal"/>
    <w:link w:val="EncabezadoCar"/>
    <w:uiPriority w:val="99"/>
    <w:unhideWhenUsed/>
    <w:rsid w:val="00AF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10AD"/>
  </w:style>
  <w:style w:type="paragraph" w:styleId="Piedepgina">
    <w:name w:val="footer"/>
    <w:basedOn w:val="Normal"/>
    <w:link w:val="PiedepginaCar"/>
    <w:uiPriority w:val="99"/>
    <w:unhideWhenUsed/>
    <w:rsid w:val="00AF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0AD"/>
  </w:style>
  <w:style w:type="character" w:styleId="Nmerodepgina">
    <w:name w:val="page number"/>
    <w:rsid w:val="00AF10AD"/>
    <w:rPr>
      <w:rFonts w:ascii="Arial" w:hAnsi="Arial"/>
      <w:sz w:val="16"/>
    </w:rPr>
  </w:style>
  <w:style w:type="table" w:styleId="Tablaconcuadrcula">
    <w:name w:val="Table Grid"/>
    <w:basedOn w:val="Tablanormal"/>
    <w:rsid w:val="00EC6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1">
    <w:name w:val="Medium Shading 2 Accent 1"/>
    <w:basedOn w:val="Tablanormal"/>
    <w:uiPriority w:val="64"/>
    <w:rsid w:val="00EC63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rsid w:val="00EC63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EC631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100AF"/>
    <w:rPr>
      <w:color w:val="0000FF"/>
      <w:u w:val="single"/>
    </w:rPr>
  </w:style>
  <w:style w:type="character" w:styleId="Hipervnculovisitado">
    <w:name w:val="FollowedHyperlink"/>
    <w:basedOn w:val="Fuentedeprrafopredeter"/>
    <w:uiPriority w:val="99"/>
    <w:semiHidden/>
    <w:unhideWhenUsed/>
    <w:rsid w:val="00B100AF"/>
    <w:rPr>
      <w:color w:val="800080"/>
      <w:u w:val="single"/>
    </w:rPr>
  </w:style>
  <w:style w:type="paragraph" w:customStyle="1" w:styleId="xl69">
    <w:name w:val="xl69"/>
    <w:basedOn w:val="Normal"/>
    <w:uiPriority w:val="99"/>
    <w:rsid w:val="00B1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70">
    <w:name w:val="xl70"/>
    <w:basedOn w:val="Normal"/>
    <w:uiPriority w:val="99"/>
    <w:rsid w:val="00B100A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customStyle="1" w:styleId="xl71">
    <w:name w:val="xl71"/>
    <w:basedOn w:val="Normal"/>
    <w:uiPriority w:val="99"/>
    <w:rsid w:val="00B1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EC"/>
    </w:rPr>
  </w:style>
  <w:style w:type="paragraph" w:customStyle="1" w:styleId="xl72">
    <w:name w:val="xl72"/>
    <w:basedOn w:val="Normal"/>
    <w:uiPriority w:val="99"/>
    <w:rsid w:val="00B1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EC"/>
    </w:rPr>
  </w:style>
  <w:style w:type="table" w:styleId="Listaclara-nfasis1">
    <w:name w:val="Light List Accent 1"/>
    <w:basedOn w:val="Tablanormal"/>
    <w:uiPriority w:val="61"/>
    <w:rsid w:val="00642C4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inespaciado">
    <w:name w:val="No Spacing"/>
    <w:uiPriority w:val="1"/>
    <w:qFormat/>
    <w:rsid w:val="00075C65"/>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075C65"/>
    <w:pPr>
      <w:spacing w:after="0" w:line="240" w:lineRule="auto"/>
      <w:jc w:val="center"/>
    </w:pPr>
    <w:rPr>
      <w:rFonts w:ascii="Times New Roman" w:eastAsia="Times New Roman" w:hAnsi="Times New Roman" w:cs="Times New Roman"/>
      <w:b/>
      <w:sz w:val="24"/>
      <w:szCs w:val="20"/>
      <w:lang w:eastAsia="es-ES"/>
    </w:rPr>
  </w:style>
  <w:style w:type="character" w:customStyle="1" w:styleId="TextoindependienteCar">
    <w:name w:val="Texto independiente Car"/>
    <w:basedOn w:val="Fuentedeprrafopredeter"/>
    <w:link w:val="Textoindependiente"/>
    <w:uiPriority w:val="99"/>
    <w:rsid w:val="00075C65"/>
    <w:rPr>
      <w:rFonts w:ascii="Times New Roman" w:eastAsia="Times New Roman" w:hAnsi="Times New Roman" w:cs="Times New Roman"/>
      <w:b/>
      <w:sz w:val="24"/>
      <w:szCs w:val="20"/>
      <w:lang w:eastAsia="es-ES"/>
    </w:rPr>
  </w:style>
  <w:style w:type="character" w:styleId="Refdecomentario">
    <w:name w:val="annotation reference"/>
    <w:basedOn w:val="Fuentedeprrafopredeter"/>
    <w:uiPriority w:val="99"/>
    <w:semiHidden/>
    <w:unhideWhenUsed/>
    <w:rsid w:val="0061190E"/>
    <w:rPr>
      <w:sz w:val="16"/>
      <w:szCs w:val="16"/>
    </w:rPr>
  </w:style>
  <w:style w:type="paragraph" w:styleId="Textocomentario">
    <w:name w:val="annotation text"/>
    <w:basedOn w:val="Normal"/>
    <w:link w:val="TextocomentarioCar"/>
    <w:uiPriority w:val="99"/>
    <w:unhideWhenUsed/>
    <w:rsid w:val="0061190E"/>
    <w:pPr>
      <w:spacing w:line="240" w:lineRule="auto"/>
    </w:pPr>
    <w:rPr>
      <w:sz w:val="20"/>
      <w:szCs w:val="20"/>
    </w:rPr>
  </w:style>
  <w:style w:type="character" w:customStyle="1" w:styleId="TextocomentarioCar">
    <w:name w:val="Texto comentario Car"/>
    <w:basedOn w:val="Fuentedeprrafopredeter"/>
    <w:link w:val="Textocomentario"/>
    <w:uiPriority w:val="99"/>
    <w:rsid w:val="0061190E"/>
    <w:rPr>
      <w:sz w:val="20"/>
      <w:szCs w:val="20"/>
    </w:rPr>
  </w:style>
  <w:style w:type="paragraph" w:styleId="Asuntodelcomentario">
    <w:name w:val="annotation subject"/>
    <w:basedOn w:val="Textocomentario"/>
    <w:next w:val="Textocomentario"/>
    <w:link w:val="AsuntodelcomentarioCar"/>
    <w:uiPriority w:val="99"/>
    <w:semiHidden/>
    <w:unhideWhenUsed/>
    <w:rsid w:val="0061190E"/>
    <w:rPr>
      <w:b/>
      <w:bCs/>
    </w:rPr>
  </w:style>
  <w:style w:type="character" w:customStyle="1" w:styleId="AsuntodelcomentarioCar">
    <w:name w:val="Asunto del comentario Car"/>
    <w:basedOn w:val="TextocomentarioCar"/>
    <w:link w:val="Asuntodelcomentario"/>
    <w:uiPriority w:val="99"/>
    <w:semiHidden/>
    <w:rsid w:val="0061190E"/>
    <w:rPr>
      <w:b/>
      <w:bCs/>
      <w:sz w:val="20"/>
      <w:szCs w:val="20"/>
    </w:rPr>
  </w:style>
  <w:style w:type="table" w:styleId="Tabladecuadrcula4-nfasis1">
    <w:name w:val="Grid Table 4 Accent 1"/>
    <w:basedOn w:val="Tablanormal"/>
    <w:uiPriority w:val="49"/>
    <w:rsid w:val="00BB0D8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1Car">
    <w:name w:val="Título 1 Car"/>
    <w:basedOn w:val="Fuentedeprrafopredeter"/>
    <w:link w:val="Ttulo1"/>
    <w:rsid w:val="006D4A2B"/>
    <w:rPr>
      <w:rFonts w:ascii="Arial" w:eastAsia="Times New Roman" w:hAnsi="Arial" w:cs="Times New Roman"/>
      <w:b/>
      <w:sz w:val="20"/>
      <w:szCs w:val="20"/>
      <w:lang w:val="es-ES_tradnl" w:eastAsia="es-ES"/>
    </w:rPr>
  </w:style>
  <w:style w:type="character" w:customStyle="1" w:styleId="Ttulo2Car">
    <w:name w:val="Título 2 Car"/>
    <w:basedOn w:val="Fuentedeprrafopredeter"/>
    <w:link w:val="Ttulo2"/>
    <w:semiHidden/>
    <w:rsid w:val="006D4A2B"/>
    <w:rPr>
      <w:rFonts w:ascii="Arial" w:eastAsia="Times New Roman" w:hAnsi="Arial" w:cs="Times New Roman"/>
      <w:b/>
      <w:bCs/>
      <w:szCs w:val="20"/>
      <w:lang w:val="es-ES" w:eastAsia="es-ES"/>
    </w:rPr>
  </w:style>
  <w:style w:type="character" w:customStyle="1" w:styleId="Ttulo3Car">
    <w:name w:val="Título 3 Car"/>
    <w:basedOn w:val="Fuentedeprrafopredeter"/>
    <w:link w:val="Ttulo3"/>
    <w:semiHidden/>
    <w:rsid w:val="006D4A2B"/>
    <w:rPr>
      <w:rFonts w:ascii="Arial" w:eastAsia="Times New Roman" w:hAnsi="Arial" w:cs="Arial"/>
      <w:b/>
      <w:bCs/>
      <w:sz w:val="24"/>
      <w:szCs w:val="20"/>
      <w:lang w:val="es-ES" w:eastAsia="es-ES"/>
    </w:rPr>
  </w:style>
  <w:style w:type="character" w:customStyle="1" w:styleId="Ttulo4Car">
    <w:name w:val="Título 4 Car"/>
    <w:basedOn w:val="Fuentedeprrafopredeter"/>
    <w:link w:val="Ttulo4"/>
    <w:semiHidden/>
    <w:rsid w:val="006D4A2B"/>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semiHidden/>
    <w:rsid w:val="006D4A2B"/>
    <w:rPr>
      <w:rFonts w:ascii="Arial" w:eastAsia="Times New Roman" w:hAnsi="Arial" w:cs="Times New Roman"/>
      <w:b/>
      <w:bCs/>
      <w:sz w:val="24"/>
      <w:szCs w:val="24"/>
      <w:u w:val="single"/>
      <w:lang w:val="es-ES" w:eastAsia="es-ES"/>
    </w:rPr>
  </w:style>
  <w:style w:type="character" w:customStyle="1" w:styleId="Ttulo6Car">
    <w:name w:val="Título 6 Car"/>
    <w:basedOn w:val="Fuentedeprrafopredeter"/>
    <w:link w:val="Ttulo6"/>
    <w:semiHidden/>
    <w:rsid w:val="006D4A2B"/>
    <w:rPr>
      <w:rFonts w:ascii="Arial" w:eastAsia="Times New Roman" w:hAnsi="Arial" w:cs="Arial"/>
      <w:b/>
      <w:sz w:val="16"/>
      <w:szCs w:val="20"/>
      <w:lang w:val="es-ES" w:eastAsia="es-ES"/>
    </w:rPr>
  </w:style>
  <w:style w:type="character" w:customStyle="1" w:styleId="Ttulo7Car">
    <w:name w:val="Título 7 Car"/>
    <w:basedOn w:val="Fuentedeprrafopredeter"/>
    <w:link w:val="Ttulo7"/>
    <w:uiPriority w:val="99"/>
    <w:semiHidden/>
    <w:rsid w:val="006D4A2B"/>
    <w:rPr>
      <w:rFonts w:ascii="Arial" w:eastAsia="Times New Roman" w:hAnsi="Arial" w:cs="Arial"/>
      <w:b/>
      <w:bCs/>
      <w:sz w:val="16"/>
      <w:szCs w:val="24"/>
      <w:lang w:val="es-ES" w:eastAsia="es-ES"/>
    </w:rPr>
  </w:style>
  <w:style w:type="character" w:customStyle="1" w:styleId="Ttulo9Car">
    <w:name w:val="Título 9 Car"/>
    <w:basedOn w:val="Fuentedeprrafopredeter"/>
    <w:link w:val="Ttulo9"/>
    <w:uiPriority w:val="99"/>
    <w:semiHidden/>
    <w:rsid w:val="006D4A2B"/>
    <w:rPr>
      <w:rFonts w:ascii="Arial" w:eastAsia="Times New Roman" w:hAnsi="Arial" w:cs="Arial"/>
      <w:b/>
      <w:bCs/>
      <w:sz w:val="20"/>
      <w:szCs w:val="14"/>
      <w:lang w:val="es-ES" w:eastAsia="es-ES"/>
    </w:rPr>
  </w:style>
  <w:style w:type="paragraph" w:styleId="Listaconvietas">
    <w:name w:val="List Bullet"/>
    <w:basedOn w:val="Normal"/>
    <w:autoRedefine/>
    <w:uiPriority w:val="99"/>
    <w:semiHidden/>
    <w:unhideWhenUsed/>
    <w:rsid w:val="006D4A2B"/>
    <w:pPr>
      <w:numPr>
        <w:numId w:val="3"/>
      </w:numPr>
      <w:spacing w:after="0" w:line="240" w:lineRule="auto"/>
    </w:pPr>
    <w:rPr>
      <w:rFonts w:ascii="Arial" w:eastAsia="Times New Roman" w:hAnsi="Arial" w:cs="Times New Roman"/>
      <w:sz w:val="20"/>
      <w:szCs w:val="20"/>
      <w:lang w:val="es-ES" w:eastAsia="es-ES"/>
    </w:rPr>
  </w:style>
  <w:style w:type="paragraph" w:styleId="Puesto">
    <w:name w:val="Title"/>
    <w:basedOn w:val="Normal"/>
    <w:next w:val="Normal"/>
    <w:link w:val="PuestoCar"/>
    <w:uiPriority w:val="10"/>
    <w:qFormat/>
    <w:rsid w:val="006D4A2B"/>
    <w:pPr>
      <w:spacing w:after="0" w:line="240" w:lineRule="auto"/>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6D4A2B"/>
    <w:rPr>
      <w:rFonts w:asciiTheme="majorHAnsi" w:eastAsiaTheme="majorEastAsia" w:hAnsiTheme="majorHAnsi" w:cstheme="majorBidi"/>
      <w:spacing w:val="-10"/>
      <w:kern w:val="28"/>
      <w:sz w:val="56"/>
      <w:szCs w:val="56"/>
      <w:lang w:val="es-ES" w:eastAsia="es-ES"/>
    </w:rPr>
  </w:style>
  <w:style w:type="paragraph" w:styleId="Sangradetextonormal">
    <w:name w:val="Body Text Indent"/>
    <w:basedOn w:val="Normal"/>
    <w:link w:val="SangradetextonormalCar"/>
    <w:uiPriority w:val="99"/>
    <w:semiHidden/>
    <w:unhideWhenUsed/>
    <w:rsid w:val="006D4A2B"/>
    <w:pPr>
      <w:numPr>
        <w:numId w:val="31"/>
      </w:numPr>
      <w:spacing w:after="0" w:line="240" w:lineRule="auto"/>
      <w:ind w:left="180" w:hanging="180"/>
    </w:pPr>
    <w:rPr>
      <w:rFonts w:ascii="Arial" w:eastAsia="Times New Roman" w:hAnsi="Arial" w:cs="Arial"/>
      <w:sz w:val="20"/>
      <w:szCs w:val="24"/>
      <w:lang w:val="es-ES" w:eastAsia="es-ES"/>
    </w:rPr>
  </w:style>
  <w:style w:type="character" w:customStyle="1" w:styleId="SangradetextonormalCar">
    <w:name w:val="Sangría de texto normal Car"/>
    <w:basedOn w:val="Fuentedeprrafopredeter"/>
    <w:link w:val="Sangradetextonormal"/>
    <w:uiPriority w:val="99"/>
    <w:semiHidden/>
    <w:rsid w:val="006D4A2B"/>
    <w:rPr>
      <w:rFonts w:ascii="Arial" w:eastAsia="Times New Roman" w:hAnsi="Arial" w:cs="Arial"/>
      <w:sz w:val="20"/>
      <w:szCs w:val="24"/>
      <w:lang w:val="es-ES" w:eastAsia="es-ES"/>
    </w:rPr>
  </w:style>
  <w:style w:type="paragraph" w:styleId="Textoindependiente2">
    <w:name w:val="Body Text 2"/>
    <w:basedOn w:val="Normal"/>
    <w:link w:val="Textoindependiente2Car"/>
    <w:uiPriority w:val="99"/>
    <w:semiHidden/>
    <w:unhideWhenUsed/>
    <w:rsid w:val="006D4A2B"/>
    <w:pPr>
      <w:spacing w:after="120" w:line="480" w:lineRule="auto"/>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6D4A2B"/>
    <w:rPr>
      <w:rFonts w:ascii="Arial" w:eastAsia="Times New Roman" w:hAnsi="Arial" w:cs="Times New Roman"/>
      <w:sz w:val="20"/>
      <w:szCs w:val="20"/>
      <w:lang w:val="es-ES" w:eastAsia="es-ES"/>
    </w:rPr>
  </w:style>
  <w:style w:type="paragraph" w:styleId="Textoindependiente3">
    <w:name w:val="Body Text 3"/>
    <w:basedOn w:val="Normal"/>
    <w:link w:val="Textoindependiente3Car"/>
    <w:uiPriority w:val="99"/>
    <w:semiHidden/>
    <w:unhideWhenUsed/>
    <w:rsid w:val="006D4A2B"/>
    <w:pPr>
      <w:spacing w:after="120" w:line="240" w:lineRule="auto"/>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6D4A2B"/>
    <w:rPr>
      <w:rFonts w:ascii="Arial" w:eastAsia="Times New Roman" w:hAnsi="Arial" w:cs="Times New Roman"/>
      <w:sz w:val="16"/>
      <w:szCs w:val="16"/>
      <w:lang w:val="es-ES" w:eastAsia="es-ES"/>
    </w:rPr>
  </w:style>
  <w:style w:type="paragraph" w:styleId="Sangra2detindependiente">
    <w:name w:val="Body Text Indent 2"/>
    <w:basedOn w:val="Normal"/>
    <w:link w:val="Sangra2detindependienteCar"/>
    <w:uiPriority w:val="99"/>
    <w:semiHidden/>
    <w:unhideWhenUsed/>
    <w:rsid w:val="006D4A2B"/>
    <w:pPr>
      <w:spacing w:after="120" w:line="480" w:lineRule="auto"/>
      <w:ind w:left="283"/>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6D4A2B"/>
    <w:rPr>
      <w:rFonts w:ascii="Arial" w:eastAsia="Times New Roman" w:hAnsi="Arial" w:cs="Times New Roman"/>
      <w:sz w:val="20"/>
      <w:szCs w:val="20"/>
      <w:lang w:val="es-ES" w:eastAsia="es-ES"/>
    </w:rPr>
  </w:style>
  <w:style w:type="paragraph" w:styleId="Mapadeldocumento">
    <w:name w:val="Document Map"/>
    <w:basedOn w:val="Normal"/>
    <w:link w:val="MapadeldocumentoCar"/>
    <w:uiPriority w:val="99"/>
    <w:semiHidden/>
    <w:unhideWhenUsed/>
    <w:rsid w:val="006D4A2B"/>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6D4A2B"/>
    <w:rPr>
      <w:rFonts w:ascii="Tahoma" w:eastAsia="Times New Roman" w:hAnsi="Tahoma" w:cs="Tahoma"/>
      <w:sz w:val="20"/>
      <w:szCs w:val="20"/>
      <w:shd w:val="clear" w:color="auto" w:fill="000080"/>
      <w:lang w:val="es-ES" w:eastAsia="es-ES"/>
    </w:rPr>
  </w:style>
  <w:style w:type="paragraph" w:styleId="Revisin">
    <w:name w:val="Revision"/>
    <w:uiPriority w:val="99"/>
    <w:semiHidden/>
    <w:rsid w:val="006D4A2B"/>
    <w:pPr>
      <w:spacing w:after="0" w:line="240" w:lineRule="auto"/>
    </w:pPr>
    <w:rPr>
      <w:rFonts w:ascii="Arial" w:eastAsia="Times New Roman" w:hAnsi="Arial" w:cs="Times New Roman"/>
      <w:sz w:val="20"/>
      <w:szCs w:val="20"/>
      <w:lang w:val="es-ES" w:eastAsia="es-ES"/>
    </w:rPr>
  </w:style>
  <w:style w:type="paragraph" w:customStyle="1" w:styleId="Bulletlist">
    <w:name w:val="Bullet list"/>
    <w:basedOn w:val="Normal"/>
    <w:uiPriority w:val="99"/>
    <w:rsid w:val="006D4A2B"/>
    <w:pPr>
      <w:numPr>
        <w:numId w:val="5"/>
      </w:numPr>
      <w:spacing w:after="120" w:line="240" w:lineRule="auto"/>
    </w:pPr>
    <w:rPr>
      <w:rFonts w:ascii="Arial" w:eastAsia="Times New Roman" w:hAnsi="Arial" w:cs="Times New Roman"/>
      <w:sz w:val="20"/>
      <w:szCs w:val="20"/>
      <w:lang w:val="es-ES" w:eastAsia="es-ES"/>
    </w:rPr>
  </w:style>
  <w:style w:type="paragraph" w:customStyle="1" w:styleId="Estilo">
    <w:name w:val="Estilo"/>
    <w:basedOn w:val="Ttulo2"/>
    <w:uiPriority w:val="99"/>
    <w:rsid w:val="006D4A2B"/>
    <w:pPr>
      <w:keepNext w:val="0"/>
      <w:snapToGrid w:val="0"/>
    </w:pPr>
    <w:rPr>
      <w:b w:val="0"/>
      <w:bCs w:val="0"/>
      <w:color w:val="000000"/>
      <w:sz w:val="24"/>
      <w:szCs w:val="24"/>
      <w:lang w:val="es-ES_tradnl"/>
    </w:rPr>
  </w:style>
  <w:style w:type="paragraph" w:customStyle="1" w:styleId="CM10">
    <w:name w:val="CM10"/>
    <w:basedOn w:val="Normal"/>
    <w:next w:val="Normal"/>
    <w:uiPriority w:val="99"/>
    <w:rsid w:val="006D4A2B"/>
    <w:pPr>
      <w:autoSpaceDE w:val="0"/>
      <w:autoSpaceDN w:val="0"/>
      <w:adjustRightInd w:val="0"/>
      <w:spacing w:after="245" w:line="240" w:lineRule="auto"/>
    </w:pPr>
    <w:rPr>
      <w:rFonts w:ascii="Arial" w:eastAsia="Times New Roman" w:hAnsi="Arial" w:cs="Times New Roman"/>
      <w:sz w:val="24"/>
      <w:szCs w:val="24"/>
      <w:lang w:val="es-ES" w:eastAsia="es-ES"/>
    </w:rPr>
  </w:style>
  <w:style w:type="paragraph" w:customStyle="1" w:styleId="CM9">
    <w:name w:val="CM9"/>
    <w:basedOn w:val="Normal"/>
    <w:next w:val="Normal"/>
    <w:uiPriority w:val="99"/>
    <w:rsid w:val="006D4A2B"/>
    <w:pPr>
      <w:autoSpaceDE w:val="0"/>
      <w:autoSpaceDN w:val="0"/>
      <w:adjustRightInd w:val="0"/>
      <w:spacing w:after="105" w:line="240" w:lineRule="auto"/>
    </w:pPr>
    <w:rPr>
      <w:rFonts w:ascii="Arial" w:eastAsia="Times New Roman" w:hAnsi="Arial" w:cs="Times New Roman"/>
      <w:sz w:val="24"/>
      <w:szCs w:val="24"/>
      <w:lang w:val="es-ES" w:eastAsia="es-ES"/>
    </w:rPr>
  </w:style>
  <w:style w:type="paragraph" w:customStyle="1" w:styleId="Default">
    <w:name w:val="Default"/>
    <w:uiPriority w:val="99"/>
    <w:rsid w:val="006D4A2B"/>
    <w:pPr>
      <w:autoSpaceDE w:val="0"/>
      <w:autoSpaceDN w:val="0"/>
      <w:adjustRightInd w:val="0"/>
      <w:spacing w:after="0" w:line="240" w:lineRule="auto"/>
    </w:pPr>
    <w:rPr>
      <w:rFonts w:ascii="Arial" w:eastAsia="Calibri" w:hAnsi="Arial" w:cs="Arial"/>
      <w:color w:val="000000"/>
      <w:sz w:val="24"/>
      <w:szCs w:val="24"/>
    </w:rPr>
  </w:style>
  <w:style w:type="paragraph" w:customStyle="1" w:styleId="xl24">
    <w:name w:val="xl24"/>
    <w:basedOn w:val="Normal"/>
    <w:uiPriority w:val="99"/>
    <w:rsid w:val="006D4A2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25">
    <w:name w:val="xl25"/>
    <w:basedOn w:val="Normal"/>
    <w:uiPriority w:val="99"/>
    <w:rsid w:val="006D4A2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6">
    <w:name w:val="xl26"/>
    <w:basedOn w:val="Normal"/>
    <w:uiPriority w:val="99"/>
    <w:rsid w:val="006D4A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27">
    <w:name w:val="xl27"/>
    <w:basedOn w:val="Normal"/>
    <w:uiPriority w:val="99"/>
    <w:rsid w:val="006D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28">
    <w:name w:val="xl28"/>
    <w:basedOn w:val="Normal"/>
    <w:uiPriority w:val="99"/>
    <w:rsid w:val="006D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9">
    <w:name w:val="xl29"/>
    <w:basedOn w:val="Normal"/>
    <w:uiPriority w:val="99"/>
    <w:rsid w:val="006D4A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30">
    <w:name w:val="xl30"/>
    <w:basedOn w:val="Normal"/>
    <w:uiPriority w:val="99"/>
    <w:rsid w:val="006D4A2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63">
    <w:name w:val="xl63"/>
    <w:basedOn w:val="Normal"/>
    <w:uiPriority w:val="99"/>
    <w:rsid w:val="006D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EC"/>
    </w:rPr>
  </w:style>
  <w:style w:type="paragraph" w:customStyle="1" w:styleId="xl64">
    <w:name w:val="xl64"/>
    <w:basedOn w:val="Normal"/>
    <w:uiPriority w:val="99"/>
    <w:rsid w:val="006D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EC"/>
    </w:rPr>
  </w:style>
  <w:style w:type="paragraph" w:customStyle="1" w:styleId="xl65">
    <w:name w:val="xl65"/>
    <w:basedOn w:val="Normal"/>
    <w:uiPriority w:val="99"/>
    <w:rsid w:val="006D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es-EC"/>
    </w:rPr>
  </w:style>
  <w:style w:type="paragraph" w:customStyle="1" w:styleId="xl66">
    <w:name w:val="xl66"/>
    <w:basedOn w:val="Normal"/>
    <w:uiPriority w:val="99"/>
    <w:rsid w:val="006D4A2B"/>
    <w:pPr>
      <w:pBdr>
        <w:top w:val="single" w:sz="4" w:space="0" w:color="auto"/>
        <w:left w:val="single" w:sz="4" w:space="0" w:color="auto"/>
        <w:bottom w:val="single" w:sz="4" w:space="0" w:color="auto"/>
        <w:right w:val="single" w:sz="4" w:space="0" w:color="auto"/>
      </w:pBdr>
      <w:shd w:val="clear" w:color="auto" w:fill="D6DCE4"/>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customStyle="1" w:styleId="xl67">
    <w:name w:val="xl67"/>
    <w:basedOn w:val="Normal"/>
    <w:uiPriority w:val="99"/>
    <w:rsid w:val="006D4A2B"/>
    <w:pPr>
      <w:pBdr>
        <w:left w:val="single" w:sz="4" w:space="0" w:color="auto"/>
        <w:right w:val="single" w:sz="4" w:space="0" w:color="auto"/>
      </w:pBdr>
      <w:shd w:val="clear" w:color="auto" w:fill="D6DCE4"/>
      <w:spacing w:before="100" w:beforeAutospacing="1" w:after="100" w:afterAutospacing="1" w:line="240" w:lineRule="auto"/>
      <w:jc w:val="center"/>
    </w:pPr>
    <w:rPr>
      <w:rFonts w:ascii="Symbol" w:eastAsia="Times New Roman" w:hAnsi="Symbol" w:cs="Times New Roman"/>
      <w:b/>
      <w:bCs/>
      <w:sz w:val="24"/>
      <w:szCs w:val="24"/>
      <w:lang w:eastAsia="es-EC"/>
    </w:rPr>
  </w:style>
  <w:style w:type="paragraph" w:customStyle="1" w:styleId="xl68">
    <w:name w:val="xl68"/>
    <w:basedOn w:val="Normal"/>
    <w:uiPriority w:val="99"/>
    <w:rsid w:val="006D4A2B"/>
    <w:pPr>
      <w:pBdr>
        <w:left w:val="single" w:sz="4" w:space="0" w:color="auto"/>
        <w:right w:val="single" w:sz="4" w:space="0" w:color="auto"/>
      </w:pBdr>
      <w:shd w:val="clear" w:color="auto" w:fill="D6DCE4"/>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customStyle="1" w:styleId="xl73">
    <w:name w:val="xl73"/>
    <w:basedOn w:val="Normal"/>
    <w:uiPriority w:val="99"/>
    <w:rsid w:val="006D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EC"/>
    </w:rPr>
  </w:style>
  <w:style w:type="paragraph" w:customStyle="1" w:styleId="xl74">
    <w:name w:val="xl74"/>
    <w:basedOn w:val="Normal"/>
    <w:uiPriority w:val="99"/>
    <w:rsid w:val="006D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es-EC"/>
    </w:rPr>
  </w:style>
  <w:style w:type="character" w:customStyle="1" w:styleId="Rtulodeencabezadodemensaje">
    <w:name w:val="Rótulo de encabezado de mensaje"/>
    <w:rsid w:val="006D4A2B"/>
    <w:rPr>
      <w:rFonts w:ascii="Arial Black" w:hAnsi="Arial Black" w:hint="default"/>
      <w:spacing w:val="-10"/>
      <w:sz w:val="18"/>
    </w:rPr>
  </w:style>
  <w:style w:type="table" w:styleId="Listaclara">
    <w:name w:val="Light List"/>
    <w:basedOn w:val="Tablanormal"/>
    <w:uiPriority w:val="61"/>
    <w:semiHidden/>
    <w:unhideWhenUsed/>
    <w:rsid w:val="006D4A2B"/>
    <w:pPr>
      <w:spacing w:after="0" w:line="240" w:lineRule="auto"/>
    </w:pPr>
    <w:rPr>
      <w:rFonts w:ascii="Times New Roman" w:eastAsia="Times New Roman" w:hAnsi="Times New Roman" w:cs="Times New Roman"/>
      <w:sz w:val="20"/>
      <w:szCs w:val="20"/>
      <w:lang w:eastAsia="es-EC"/>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semiHidden/>
    <w:unhideWhenUsed/>
    <w:rsid w:val="006D4A2B"/>
    <w:pPr>
      <w:spacing w:after="0" w:line="240" w:lineRule="auto"/>
    </w:pPr>
    <w:rPr>
      <w:rFonts w:ascii="Times New Roman" w:eastAsia="Times New Roman" w:hAnsi="Times New Roman" w:cs="Times New Roman"/>
      <w:color w:val="365F91"/>
      <w:sz w:val="20"/>
      <w:szCs w:val="20"/>
      <w:lang w:eastAsia="es-EC"/>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034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90">
          <w:marLeft w:val="0"/>
          <w:marRight w:val="0"/>
          <w:marTop w:val="0"/>
          <w:marBottom w:val="0"/>
          <w:divBdr>
            <w:top w:val="none" w:sz="0" w:space="0" w:color="auto"/>
            <w:left w:val="none" w:sz="0" w:space="0" w:color="auto"/>
            <w:bottom w:val="none" w:sz="0" w:space="0" w:color="auto"/>
            <w:right w:val="none" w:sz="0" w:space="0" w:color="auto"/>
          </w:divBdr>
        </w:div>
        <w:div w:id="1751341289">
          <w:marLeft w:val="0"/>
          <w:marRight w:val="0"/>
          <w:marTop w:val="0"/>
          <w:marBottom w:val="0"/>
          <w:divBdr>
            <w:top w:val="none" w:sz="0" w:space="0" w:color="auto"/>
            <w:left w:val="none" w:sz="0" w:space="0" w:color="auto"/>
            <w:bottom w:val="none" w:sz="0" w:space="0" w:color="auto"/>
            <w:right w:val="none" w:sz="0" w:space="0" w:color="auto"/>
          </w:divBdr>
        </w:div>
      </w:divsChild>
    </w:div>
    <w:div w:id="104811706">
      <w:bodyDiv w:val="1"/>
      <w:marLeft w:val="0"/>
      <w:marRight w:val="0"/>
      <w:marTop w:val="0"/>
      <w:marBottom w:val="0"/>
      <w:divBdr>
        <w:top w:val="none" w:sz="0" w:space="0" w:color="auto"/>
        <w:left w:val="none" w:sz="0" w:space="0" w:color="auto"/>
        <w:bottom w:val="none" w:sz="0" w:space="0" w:color="auto"/>
        <w:right w:val="none" w:sz="0" w:space="0" w:color="auto"/>
      </w:divBdr>
      <w:divsChild>
        <w:div w:id="334845144">
          <w:marLeft w:val="0"/>
          <w:marRight w:val="0"/>
          <w:marTop w:val="0"/>
          <w:marBottom w:val="0"/>
          <w:divBdr>
            <w:top w:val="none" w:sz="0" w:space="0" w:color="auto"/>
            <w:left w:val="none" w:sz="0" w:space="0" w:color="auto"/>
            <w:bottom w:val="none" w:sz="0" w:space="0" w:color="auto"/>
            <w:right w:val="none" w:sz="0" w:space="0" w:color="auto"/>
          </w:divBdr>
        </w:div>
        <w:div w:id="343748974">
          <w:marLeft w:val="0"/>
          <w:marRight w:val="0"/>
          <w:marTop w:val="0"/>
          <w:marBottom w:val="0"/>
          <w:divBdr>
            <w:top w:val="none" w:sz="0" w:space="0" w:color="auto"/>
            <w:left w:val="none" w:sz="0" w:space="0" w:color="auto"/>
            <w:bottom w:val="none" w:sz="0" w:space="0" w:color="auto"/>
            <w:right w:val="none" w:sz="0" w:space="0" w:color="auto"/>
          </w:divBdr>
        </w:div>
        <w:div w:id="1743523171">
          <w:marLeft w:val="0"/>
          <w:marRight w:val="0"/>
          <w:marTop w:val="0"/>
          <w:marBottom w:val="0"/>
          <w:divBdr>
            <w:top w:val="none" w:sz="0" w:space="0" w:color="auto"/>
            <w:left w:val="none" w:sz="0" w:space="0" w:color="auto"/>
            <w:bottom w:val="none" w:sz="0" w:space="0" w:color="auto"/>
            <w:right w:val="none" w:sz="0" w:space="0" w:color="auto"/>
          </w:divBdr>
        </w:div>
        <w:div w:id="154611909">
          <w:marLeft w:val="0"/>
          <w:marRight w:val="0"/>
          <w:marTop w:val="0"/>
          <w:marBottom w:val="0"/>
          <w:divBdr>
            <w:top w:val="none" w:sz="0" w:space="0" w:color="auto"/>
            <w:left w:val="none" w:sz="0" w:space="0" w:color="auto"/>
            <w:bottom w:val="none" w:sz="0" w:space="0" w:color="auto"/>
            <w:right w:val="none" w:sz="0" w:space="0" w:color="auto"/>
          </w:divBdr>
        </w:div>
        <w:div w:id="167790843">
          <w:marLeft w:val="0"/>
          <w:marRight w:val="0"/>
          <w:marTop w:val="0"/>
          <w:marBottom w:val="0"/>
          <w:divBdr>
            <w:top w:val="none" w:sz="0" w:space="0" w:color="auto"/>
            <w:left w:val="none" w:sz="0" w:space="0" w:color="auto"/>
            <w:bottom w:val="none" w:sz="0" w:space="0" w:color="auto"/>
            <w:right w:val="none" w:sz="0" w:space="0" w:color="auto"/>
          </w:divBdr>
        </w:div>
        <w:div w:id="1960181913">
          <w:marLeft w:val="0"/>
          <w:marRight w:val="0"/>
          <w:marTop w:val="0"/>
          <w:marBottom w:val="0"/>
          <w:divBdr>
            <w:top w:val="none" w:sz="0" w:space="0" w:color="auto"/>
            <w:left w:val="none" w:sz="0" w:space="0" w:color="auto"/>
            <w:bottom w:val="none" w:sz="0" w:space="0" w:color="auto"/>
            <w:right w:val="none" w:sz="0" w:space="0" w:color="auto"/>
          </w:divBdr>
        </w:div>
      </w:divsChild>
    </w:div>
    <w:div w:id="113603614">
      <w:bodyDiv w:val="1"/>
      <w:marLeft w:val="0"/>
      <w:marRight w:val="0"/>
      <w:marTop w:val="0"/>
      <w:marBottom w:val="0"/>
      <w:divBdr>
        <w:top w:val="none" w:sz="0" w:space="0" w:color="auto"/>
        <w:left w:val="none" w:sz="0" w:space="0" w:color="auto"/>
        <w:bottom w:val="none" w:sz="0" w:space="0" w:color="auto"/>
        <w:right w:val="none" w:sz="0" w:space="0" w:color="auto"/>
      </w:divBdr>
    </w:div>
    <w:div w:id="215511975">
      <w:bodyDiv w:val="1"/>
      <w:marLeft w:val="0"/>
      <w:marRight w:val="0"/>
      <w:marTop w:val="0"/>
      <w:marBottom w:val="0"/>
      <w:divBdr>
        <w:top w:val="none" w:sz="0" w:space="0" w:color="auto"/>
        <w:left w:val="none" w:sz="0" w:space="0" w:color="auto"/>
        <w:bottom w:val="none" w:sz="0" w:space="0" w:color="auto"/>
        <w:right w:val="none" w:sz="0" w:space="0" w:color="auto"/>
      </w:divBdr>
    </w:div>
    <w:div w:id="219832174">
      <w:bodyDiv w:val="1"/>
      <w:marLeft w:val="0"/>
      <w:marRight w:val="0"/>
      <w:marTop w:val="0"/>
      <w:marBottom w:val="0"/>
      <w:divBdr>
        <w:top w:val="none" w:sz="0" w:space="0" w:color="auto"/>
        <w:left w:val="none" w:sz="0" w:space="0" w:color="auto"/>
        <w:bottom w:val="none" w:sz="0" w:space="0" w:color="auto"/>
        <w:right w:val="none" w:sz="0" w:space="0" w:color="auto"/>
      </w:divBdr>
    </w:div>
    <w:div w:id="289363989">
      <w:bodyDiv w:val="1"/>
      <w:marLeft w:val="0"/>
      <w:marRight w:val="0"/>
      <w:marTop w:val="0"/>
      <w:marBottom w:val="0"/>
      <w:divBdr>
        <w:top w:val="none" w:sz="0" w:space="0" w:color="auto"/>
        <w:left w:val="none" w:sz="0" w:space="0" w:color="auto"/>
        <w:bottom w:val="none" w:sz="0" w:space="0" w:color="auto"/>
        <w:right w:val="none" w:sz="0" w:space="0" w:color="auto"/>
      </w:divBdr>
    </w:div>
    <w:div w:id="327174757">
      <w:bodyDiv w:val="1"/>
      <w:marLeft w:val="0"/>
      <w:marRight w:val="0"/>
      <w:marTop w:val="0"/>
      <w:marBottom w:val="0"/>
      <w:divBdr>
        <w:top w:val="none" w:sz="0" w:space="0" w:color="auto"/>
        <w:left w:val="none" w:sz="0" w:space="0" w:color="auto"/>
        <w:bottom w:val="none" w:sz="0" w:space="0" w:color="auto"/>
        <w:right w:val="none" w:sz="0" w:space="0" w:color="auto"/>
      </w:divBdr>
    </w:div>
    <w:div w:id="350228903">
      <w:bodyDiv w:val="1"/>
      <w:marLeft w:val="0"/>
      <w:marRight w:val="0"/>
      <w:marTop w:val="0"/>
      <w:marBottom w:val="0"/>
      <w:divBdr>
        <w:top w:val="none" w:sz="0" w:space="0" w:color="auto"/>
        <w:left w:val="none" w:sz="0" w:space="0" w:color="auto"/>
        <w:bottom w:val="none" w:sz="0" w:space="0" w:color="auto"/>
        <w:right w:val="none" w:sz="0" w:space="0" w:color="auto"/>
      </w:divBdr>
    </w:div>
    <w:div w:id="436560417">
      <w:bodyDiv w:val="1"/>
      <w:marLeft w:val="0"/>
      <w:marRight w:val="0"/>
      <w:marTop w:val="0"/>
      <w:marBottom w:val="0"/>
      <w:divBdr>
        <w:top w:val="none" w:sz="0" w:space="0" w:color="auto"/>
        <w:left w:val="none" w:sz="0" w:space="0" w:color="auto"/>
        <w:bottom w:val="none" w:sz="0" w:space="0" w:color="auto"/>
        <w:right w:val="none" w:sz="0" w:space="0" w:color="auto"/>
      </w:divBdr>
    </w:div>
    <w:div w:id="519702731">
      <w:bodyDiv w:val="1"/>
      <w:marLeft w:val="0"/>
      <w:marRight w:val="0"/>
      <w:marTop w:val="0"/>
      <w:marBottom w:val="0"/>
      <w:divBdr>
        <w:top w:val="none" w:sz="0" w:space="0" w:color="auto"/>
        <w:left w:val="none" w:sz="0" w:space="0" w:color="auto"/>
        <w:bottom w:val="none" w:sz="0" w:space="0" w:color="auto"/>
        <w:right w:val="none" w:sz="0" w:space="0" w:color="auto"/>
      </w:divBdr>
      <w:divsChild>
        <w:div w:id="1984197462">
          <w:marLeft w:val="0"/>
          <w:marRight w:val="0"/>
          <w:marTop w:val="0"/>
          <w:marBottom w:val="0"/>
          <w:divBdr>
            <w:top w:val="none" w:sz="0" w:space="0" w:color="auto"/>
            <w:left w:val="none" w:sz="0" w:space="0" w:color="auto"/>
            <w:bottom w:val="none" w:sz="0" w:space="0" w:color="auto"/>
            <w:right w:val="none" w:sz="0" w:space="0" w:color="auto"/>
          </w:divBdr>
        </w:div>
        <w:div w:id="1573858218">
          <w:marLeft w:val="0"/>
          <w:marRight w:val="0"/>
          <w:marTop w:val="0"/>
          <w:marBottom w:val="0"/>
          <w:divBdr>
            <w:top w:val="none" w:sz="0" w:space="0" w:color="auto"/>
            <w:left w:val="none" w:sz="0" w:space="0" w:color="auto"/>
            <w:bottom w:val="none" w:sz="0" w:space="0" w:color="auto"/>
            <w:right w:val="none" w:sz="0" w:space="0" w:color="auto"/>
          </w:divBdr>
        </w:div>
        <w:div w:id="1048382667">
          <w:marLeft w:val="0"/>
          <w:marRight w:val="0"/>
          <w:marTop w:val="0"/>
          <w:marBottom w:val="0"/>
          <w:divBdr>
            <w:top w:val="none" w:sz="0" w:space="0" w:color="auto"/>
            <w:left w:val="none" w:sz="0" w:space="0" w:color="auto"/>
            <w:bottom w:val="none" w:sz="0" w:space="0" w:color="auto"/>
            <w:right w:val="none" w:sz="0" w:space="0" w:color="auto"/>
          </w:divBdr>
        </w:div>
        <w:div w:id="1459379213">
          <w:marLeft w:val="0"/>
          <w:marRight w:val="0"/>
          <w:marTop w:val="0"/>
          <w:marBottom w:val="0"/>
          <w:divBdr>
            <w:top w:val="none" w:sz="0" w:space="0" w:color="auto"/>
            <w:left w:val="none" w:sz="0" w:space="0" w:color="auto"/>
            <w:bottom w:val="none" w:sz="0" w:space="0" w:color="auto"/>
            <w:right w:val="none" w:sz="0" w:space="0" w:color="auto"/>
          </w:divBdr>
        </w:div>
        <w:div w:id="2070570236">
          <w:marLeft w:val="0"/>
          <w:marRight w:val="0"/>
          <w:marTop w:val="0"/>
          <w:marBottom w:val="0"/>
          <w:divBdr>
            <w:top w:val="none" w:sz="0" w:space="0" w:color="auto"/>
            <w:left w:val="none" w:sz="0" w:space="0" w:color="auto"/>
            <w:bottom w:val="none" w:sz="0" w:space="0" w:color="auto"/>
            <w:right w:val="none" w:sz="0" w:space="0" w:color="auto"/>
          </w:divBdr>
        </w:div>
        <w:div w:id="1351565274">
          <w:marLeft w:val="0"/>
          <w:marRight w:val="0"/>
          <w:marTop w:val="0"/>
          <w:marBottom w:val="0"/>
          <w:divBdr>
            <w:top w:val="none" w:sz="0" w:space="0" w:color="auto"/>
            <w:left w:val="none" w:sz="0" w:space="0" w:color="auto"/>
            <w:bottom w:val="none" w:sz="0" w:space="0" w:color="auto"/>
            <w:right w:val="none" w:sz="0" w:space="0" w:color="auto"/>
          </w:divBdr>
        </w:div>
        <w:div w:id="518743698">
          <w:marLeft w:val="0"/>
          <w:marRight w:val="0"/>
          <w:marTop w:val="0"/>
          <w:marBottom w:val="0"/>
          <w:divBdr>
            <w:top w:val="none" w:sz="0" w:space="0" w:color="auto"/>
            <w:left w:val="none" w:sz="0" w:space="0" w:color="auto"/>
            <w:bottom w:val="none" w:sz="0" w:space="0" w:color="auto"/>
            <w:right w:val="none" w:sz="0" w:space="0" w:color="auto"/>
          </w:divBdr>
        </w:div>
        <w:div w:id="213196523">
          <w:marLeft w:val="0"/>
          <w:marRight w:val="0"/>
          <w:marTop w:val="0"/>
          <w:marBottom w:val="0"/>
          <w:divBdr>
            <w:top w:val="none" w:sz="0" w:space="0" w:color="auto"/>
            <w:left w:val="none" w:sz="0" w:space="0" w:color="auto"/>
            <w:bottom w:val="none" w:sz="0" w:space="0" w:color="auto"/>
            <w:right w:val="none" w:sz="0" w:space="0" w:color="auto"/>
          </w:divBdr>
        </w:div>
        <w:div w:id="676927690">
          <w:marLeft w:val="0"/>
          <w:marRight w:val="0"/>
          <w:marTop w:val="0"/>
          <w:marBottom w:val="0"/>
          <w:divBdr>
            <w:top w:val="none" w:sz="0" w:space="0" w:color="auto"/>
            <w:left w:val="none" w:sz="0" w:space="0" w:color="auto"/>
            <w:bottom w:val="none" w:sz="0" w:space="0" w:color="auto"/>
            <w:right w:val="none" w:sz="0" w:space="0" w:color="auto"/>
          </w:divBdr>
        </w:div>
      </w:divsChild>
    </w:div>
    <w:div w:id="613904105">
      <w:bodyDiv w:val="1"/>
      <w:marLeft w:val="0"/>
      <w:marRight w:val="0"/>
      <w:marTop w:val="0"/>
      <w:marBottom w:val="0"/>
      <w:divBdr>
        <w:top w:val="none" w:sz="0" w:space="0" w:color="auto"/>
        <w:left w:val="none" w:sz="0" w:space="0" w:color="auto"/>
        <w:bottom w:val="none" w:sz="0" w:space="0" w:color="auto"/>
        <w:right w:val="none" w:sz="0" w:space="0" w:color="auto"/>
      </w:divBdr>
      <w:divsChild>
        <w:div w:id="634334522">
          <w:marLeft w:val="0"/>
          <w:marRight w:val="0"/>
          <w:marTop w:val="0"/>
          <w:marBottom w:val="0"/>
          <w:divBdr>
            <w:top w:val="none" w:sz="0" w:space="0" w:color="auto"/>
            <w:left w:val="none" w:sz="0" w:space="0" w:color="auto"/>
            <w:bottom w:val="none" w:sz="0" w:space="0" w:color="auto"/>
            <w:right w:val="none" w:sz="0" w:space="0" w:color="auto"/>
          </w:divBdr>
          <w:divsChild>
            <w:div w:id="2060205042">
              <w:marLeft w:val="0"/>
              <w:marRight w:val="0"/>
              <w:marTop w:val="0"/>
              <w:marBottom w:val="0"/>
              <w:divBdr>
                <w:top w:val="none" w:sz="0" w:space="0" w:color="auto"/>
                <w:left w:val="none" w:sz="0" w:space="0" w:color="auto"/>
                <w:bottom w:val="none" w:sz="0" w:space="0" w:color="auto"/>
                <w:right w:val="none" w:sz="0" w:space="0" w:color="auto"/>
              </w:divBdr>
            </w:div>
            <w:div w:id="1531143763">
              <w:marLeft w:val="0"/>
              <w:marRight w:val="0"/>
              <w:marTop w:val="0"/>
              <w:marBottom w:val="0"/>
              <w:divBdr>
                <w:top w:val="none" w:sz="0" w:space="0" w:color="auto"/>
                <w:left w:val="none" w:sz="0" w:space="0" w:color="auto"/>
                <w:bottom w:val="none" w:sz="0" w:space="0" w:color="auto"/>
                <w:right w:val="none" w:sz="0" w:space="0" w:color="auto"/>
              </w:divBdr>
            </w:div>
            <w:div w:id="473181434">
              <w:marLeft w:val="0"/>
              <w:marRight w:val="0"/>
              <w:marTop w:val="0"/>
              <w:marBottom w:val="0"/>
              <w:divBdr>
                <w:top w:val="none" w:sz="0" w:space="0" w:color="auto"/>
                <w:left w:val="none" w:sz="0" w:space="0" w:color="auto"/>
                <w:bottom w:val="none" w:sz="0" w:space="0" w:color="auto"/>
                <w:right w:val="none" w:sz="0" w:space="0" w:color="auto"/>
              </w:divBdr>
            </w:div>
            <w:div w:id="2111268397">
              <w:marLeft w:val="0"/>
              <w:marRight w:val="0"/>
              <w:marTop w:val="0"/>
              <w:marBottom w:val="0"/>
              <w:divBdr>
                <w:top w:val="none" w:sz="0" w:space="0" w:color="auto"/>
                <w:left w:val="none" w:sz="0" w:space="0" w:color="auto"/>
                <w:bottom w:val="none" w:sz="0" w:space="0" w:color="auto"/>
                <w:right w:val="none" w:sz="0" w:space="0" w:color="auto"/>
              </w:divBdr>
            </w:div>
            <w:div w:id="42297654">
              <w:marLeft w:val="0"/>
              <w:marRight w:val="0"/>
              <w:marTop w:val="0"/>
              <w:marBottom w:val="0"/>
              <w:divBdr>
                <w:top w:val="none" w:sz="0" w:space="0" w:color="auto"/>
                <w:left w:val="none" w:sz="0" w:space="0" w:color="auto"/>
                <w:bottom w:val="none" w:sz="0" w:space="0" w:color="auto"/>
                <w:right w:val="none" w:sz="0" w:space="0" w:color="auto"/>
              </w:divBdr>
            </w:div>
            <w:div w:id="16797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8743">
      <w:bodyDiv w:val="1"/>
      <w:marLeft w:val="0"/>
      <w:marRight w:val="0"/>
      <w:marTop w:val="0"/>
      <w:marBottom w:val="0"/>
      <w:divBdr>
        <w:top w:val="none" w:sz="0" w:space="0" w:color="auto"/>
        <w:left w:val="none" w:sz="0" w:space="0" w:color="auto"/>
        <w:bottom w:val="none" w:sz="0" w:space="0" w:color="auto"/>
        <w:right w:val="none" w:sz="0" w:space="0" w:color="auto"/>
      </w:divBdr>
    </w:div>
    <w:div w:id="645209442">
      <w:bodyDiv w:val="1"/>
      <w:marLeft w:val="0"/>
      <w:marRight w:val="0"/>
      <w:marTop w:val="0"/>
      <w:marBottom w:val="0"/>
      <w:divBdr>
        <w:top w:val="none" w:sz="0" w:space="0" w:color="auto"/>
        <w:left w:val="none" w:sz="0" w:space="0" w:color="auto"/>
        <w:bottom w:val="none" w:sz="0" w:space="0" w:color="auto"/>
        <w:right w:val="none" w:sz="0" w:space="0" w:color="auto"/>
      </w:divBdr>
    </w:div>
    <w:div w:id="718747793">
      <w:bodyDiv w:val="1"/>
      <w:marLeft w:val="0"/>
      <w:marRight w:val="0"/>
      <w:marTop w:val="0"/>
      <w:marBottom w:val="0"/>
      <w:divBdr>
        <w:top w:val="none" w:sz="0" w:space="0" w:color="auto"/>
        <w:left w:val="none" w:sz="0" w:space="0" w:color="auto"/>
        <w:bottom w:val="none" w:sz="0" w:space="0" w:color="auto"/>
        <w:right w:val="none" w:sz="0" w:space="0" w:color="auto"/>
      </w:divBdr>
    </w:div>
    <w:div w:id="818156484">
      <w:bodyDiv w:val="1"/>
      <w:marLeft w:val="0"/>
      <w:marRight w:val="0"/>
      <w:marTop w:val="0"/>
      <w:marBottom w:val="0"/>
      <w:divBdr>
        <w:top w:val="none" w:sz="0" w:space="0" w:color="auto"/>
        <w:left w:val="none" w:sz="0" w:space="0" w:color="auto"/>
        <w:bottom w:val="none" w:sz="0" w:space="0" w:color="auto"/>
        <w:right w:val="none" w:sz="0" w:space="0" w:color="auto"/>
      </w:divBdr>
    </w:div>
    <w:div w:id="900748003">
      <w:bodyDiv w:val="1"/>
      <w:marLeft w:val="0"/>
      <w:marRight w:val="0"/>
      <w:marTop w:val="0"/>
      <w:marBottom w:val="0"/>
      <w:divBdr>
        <w:top w:val="none" w:sz="0" w:space="0" w:color="auto"/>
        <w:left w:val="none" w:sz="0" w:space="0" w:color="auto"/>
        <w:bottom w:val="none" w:sz="0" w:space="0" w:color="auto"/>
        <w:right w:val="none" w:sz="0" w:space="0" w:color="auto"/>
      </w:divBdr>
      <w:divsChild>
        <w:div w:id="1457290693">
          <w:marLeft w:val="0"/>
          <w:marRight w:val="0"/>
          <w:marTop w:val="0"/>
          <w:marBottom w:val="0"/>
          <w:divBdr>
            <w:top w:val="none" w:sz="0" w:space="0" w:color="auto"/>
            <w:left w:val="none" w:sz="0" w:space="0" w:color="auto"/>
            <w:bottom w:val="none" w:sz="0" w:space="0" w:color="auto"/>
            <w:right w:val="none" w:sz="0" w:space="0" w:color="auto"/>
          </w:divBdr>
        </w:div>
        <w:div w:id="651131676">
          <w:marLeft w:val="0"/>
          <w:marRight w:val="0"/>
          <w:marTop w:val="0"/>
          <w:marBottom w:val="0"/>
          <w:divBdr>
            <w:top w:val="none" w:sz="0" w:space="0" w:color="auto"/>
            <w:left w:val="none" w:sz="0" w:space="0" w:color="auto"/>
            <w:bottom w:val="none" w:sz="0" w:space="0" w:color="auto"/>
            <w:right w:val="none" w:sz="0" w:space="0" w:color="auto"/>
          </w:divBdr>
        </w:div>
        <w:div w:id="2113889078">
          <w:marLeft w:val="0"/>
          <w:marRight w:val="0"/>
          <w:marTop w:val="0"/>
          <w:marBottom w:val="0"/>
          <w:divBdr>
            <w:top w:val="none" w:sz="0" w:space="0" w:color="auto"/>
            <w:left w:val="none" w:sz="0" w:space="0" w:color="auto"/>
            <w:bottom w:val="none" w:sz="0" w:space="0" w:color="auto"/>
            <w:right w:val="none" w:sz="0" w:space="0" w:color="auto"/>
          </w:divBdr>
        </w:div>
      </w:divsChild>
    </w:div>
    <w:div w:id="933630579">
      <w:bodyDiv w:val="1"/>
      <w:marLeft w:val="0"/>
      <w:marRight w:val="0"/>
      <w:marTop w:val="0"/>
      <w:marBottom w:val="0"/>
      <w:divBdr>
        <w:top w:val="none" w:sz="0" w:space="0" w:color="auto"/>
        <w:left w:val="none" w:sz="0" w:space="0" w:color="auto"/>
        <w:bottom w:val="none" w:sz="0" w:space="0" w:color="auto"/>
        <w:right w:val="none" w:sz="0" w:space="0" w:color="auto"/>
      </w:divBdr>
    </w:div>
    <w:div w:id="969360840">
      <w:bodyDiv w:val="1"/>
      <w:marLeft w:val="0"/>
      <w:marRight w:val="0"/>
      <w:marTop w:val="0"/>
      <w:marBottom w:val="0"/>
      <w:divBdr>
        <w:top w:val="none" w:sz="0" w:space="0" w:color="auto"/>
        <w:left w:val="none" w:sz="0" w:space="0" w:color="auto"/>
        <w:bottom w:val="none" w:sz="0" w:space="0" w:color="auto"/>
        <w:right w:val="none" w:sz="0" w:space="0" w:color="auto"/>
      </w:divBdr>
    </w:div>
    <w:div w:id="1082987458">
      <w:bodyDiv w:val="1"/>
      <w:marLeft w:val="0"/>
      <w:marRight w:val="0"/>
      <w:marTop w:val="0"/>
      <w:marBottom w:val="0"/>
      <w:divBdr>
        <w:top w:val="none" w:sz="0" w:space="0" w:color="auto"/>
        <w:left w:val="none" w:sz="0" w:space="0" w:color="auto"/>
        <w:bottom w:val="none" w:sz="0" w:space="0" w:color="auto"/>
        <w:right w:val="none" w:sz="0" w:space="0" w:color="auto"/>
      </w:divBdr>
      <w:divsChild>
        <w:div w:id="1796556871">
          <w:marLeft w:val="0"/>
          <w:marRight w:val="0"/>
          <w:marTop w:val="0"/>
          <w:marBottom w:val="0"/>
          <w:divBdr>
            <w:top w:val="none" w:sz="0" w:space="0" w:color="auto"/>
            <w:left w:val="none" w:sz="0" w:space="0" w:color="auto"/>
            <w:bottom w:val="none" w:sz="0" w:space="0" w:color="auto"/>
            <w:right w:val="none" w:sz="0" w:space="0" w:color="auto"/>
          </w:divBdr>
        </w:div>
        <w:div w:id="1767387758">
          <w:marLeft w:val="0"/>
          <w:marRight w:val="0"/>
          <w:marTop w:val="0"/>
          <w:marBottom w:val="0"/>
          <w:divBdr>
            <w:top w:val="none" w:sz="0" w:space="0" w:color="auto"/>
            <w:left w:val="none" w:sz="0" w:space="0" w:color="auto"/>
            <w:bottom w:val="none" w:sz="0" w:space="0" w:color="auto"/>
            <w:right w:val="none" w:sz="0" w:space="0" w:color="auto"/>
          </w:divBdr>
        </w:div>
      </w:divsChild>
    </w:div>
    <w:div w:id="1241401814">
      <w:bodyDiv w:val="1"/>
      <w:marLeft w:val="0"/>
      <w:marRight w:val="0"/>
      <w:marTop w:val="0"/>
      <w:marBottom w:val="0"/>
      <w:divBdr>
        <w:top w:val="none" w:sz="0" w:space="0" w:color="auto"/>
        <w:left w:val="none" w:sz="0" w:space="0" w:color="auto"/>
        <w:bottom w:val="none" w:sz="0" w:space="0" w:color="auto"/>
        <w:right w:val="none" w:sz="0" w:space="0" w:color="auto"/>
      </w:divBdr>
    </w:div>
    <w:div w:id="1282227340">
      <w:bodyDiv w:val="1"/>
      <w:marLeft w:val="0"/>
      <w:marRight w:val="0"/>
      <w:marTop w:val="0"/>
      <w:marBottom w:val="0"/>
      <w:divBdr>
        <w:top w:val="none" w:sz="0" w:space="0" w:color="auto"/>
        <w:left w:val="none" w:sz="0" w:space="0" w:color="auto"/>
        <w:bottom w:val="none" w:sz="0" w:space="0" w:color="auto"/>
        <w:right w:val="none" w:sz="0" w:space="0" w:color="auto"/>
      </w:divBdr>
    </w:div>
    <w:div w:id="1283222437">
      <w:bodyDiv w:val="1"/>
      <w:marLeft w:val="0"/>
      <w:marRight w:val="0"/>
      <w:marTop w:val="0"/>
      <w:marBottom w:val="0"/>
      <w:divBdr>
        <w:top w:val="none" w:sz="0" w:space="0" w:color="auto"/>
        <w:left w:val="none" w:sz="0" w:space="0" w:color="auto"/>
        <w:bottom w:val="none" w:sz="0" w:space="0" w:color="auto"/>
        <w:right w:val="none" w:sz="0" w:space="0" w:color="auto"/>
      </w:divBdr>
    </w:div>
    <w:div w:id="1293251215">
      <w:bodyDiv w:val="1"/>
      <w:marLeft w:val="0"/>
      <w:marRight w:val="0"/>
      <w:marTop w:val="0"/>
      <w:marBottom w:val="0"/>
      <w:divBdr>
        <w:top w:val="none" w:sz="0" w:space="0" w:color="auto"/>
        <w:left w:val="none" w:sz="0" w:space="0" w:color="auto"/>
        <w:bottom w:val="none" w:sz="0" w:space="0" w:color="auto"/>
        <w:right w:val="none" w:sz="0" w:space="0" w:color="auto"/>
      </w:divBdr>
    </w:div>
    <w:div w:id="1319193123">
      <w:bodyDiv w:val="1"/>
      <w:marLeft w:val="0"/>
      <w:marRight w:val="0"/>
      <w:marTop w:val="0"/>
      <w:marBottom w:val="0"/>
      <w:divBdr>
        <w:top w:val="none" w:sz="0" w:space="0" w:color="auto"/>
        <w:left w:val="none" w:sz="0" w:space="0" w:color="auto"/>
        <w:bottom w:val="none" w:sz="0" w:space="0" w:color="auto"/>
        <w:right w:val="none" w:sz="0" w:space="0" w:color="auto"/>
      </w:divBdr>
    </w:div>
    <w:div w:id="1329675372">
      <w:bodyDiv w:val="1"/>
      <w:marLeft w:val="0"/>
      <w:marRight w:val="0"/>
      <w:marTop w:val="0"/>
      <w:marBottom w:val="0"/>
      <w:divBdr>
        <w:top w:val="none" w:sz="0" w:space="0" w:color="auto"/>
        <w:left w:val="none" w:sz="0" w:space="0" w:color="auto"/>
        <w:bottom w:val="none" w:sz="0" w:space="0" w:color="auto"/>
        <w:right w:val="none" w:sz="0" w:space="0" w:color="auto"/>
      </w:divBdr>
    </w:div>
    <w:div w:id="1474789023">
      <w:bodyDiv w:val="1"/>
      <w:marLeft w:val="0"/>
      <w:marRight w:val="0"/>
      <w:marTop w:val="0"/>
      <w:marBottom w:val="0"/>
      <w:divBdr>
        <w:top w:val="none" w:sz="0" w:space="0" w:color="auto"/>
        <w:left w:val="none" w:sz="0" w:space="0" w:color="auto"/>
        <w:bottom w:val="none" w:sz="0" w:space="0" w:color="auto"/>
        <w:right w:val="none" w:sz="0" w:space="0" w:color="auto"/>
      </w:divBdr>
    </w:div>
    <w:div w:id="1492258109">
      <w:bodyDiv w:val="1"/>
      <w:marLeft w:val="0"/>
      <w:marRight w:val="0"/>
      <w:marTop w:val="0"/>
      <w:marBottom w:val="0"/>
      <w:divBdr>
        <w:top w:val="none" w:sz="0" w:space="0" w:color="auto"/>
        <w:left w:val="none" w:sz="0" w:space="0" w:color="auto"/>
        <w:bottom w:val="none" w:sz="0" w:space="0" w:color="auto"/>
        <w:right w:val="none" w:sz="0" w:space="0" w:color="auto"/>
      </w:divBdr>
    </w:div>
    <w:div w:id="1502626827">
      <w:bodyDiv w:val="1"/>
      <w:marLeft w:val="0"/>
      <w:marRight w:val="0"/>
      <w:marTop w:val="0"/>
      <w:marBottom w:val="0"/>
      <w:divBdr>
        <w:top w:val="none" w:sz="0" w:space="0" w:color="auto"/>
        <w:left w:val="none" w:sz="0" w:space="0" w:color="auto"/>
        <w:bottom w:val="none" w:sz="0" w:space="0" w:color="auto"/>
        <w:right w:val="none" w:sz="0" w:space="0" w:color="auto"/>
      </w:divBdr>
      <w:divsChild>
        <w:div w:id="282856302">
          <w:marLeft w:val="0"/>
          <w:marRight w:val="0"/>
          <w:marTop w:val="0"/>
          <w:marBottom w:val="0"/>
          <w:divBdr>
            <w:top w:val="none" w:sz="0" w:space="0" w:color="auto"/>
            <w:left w:val="none" w:sz="0" w:space="0" w:color="auto"/>
            <w:bottom w:val="none" w:sz="0" w:space="0" w:color="auto"/>
            <w:right w:val="none" w:sz="0" w:space="0" w:color="auto"/>
          </w:divBdr>
        </w:div>
        <w:div w:id="56393242">
          <w:marLeft w:val="0"/>
          <w:marRight w:val="0"/>
          <w:marTop w:val="0"/>
          <w:marBottom w:val="0"/>
          <w:divBdr>
            <w:top w:val="none" w:sz="0" w:space="0" w:color="auto"/>
            <w:left w:val="none" w:sz="0" w:space="0" w:color="auto"/>
            <w:bottom w:val="none" w:sz="0" w:space="0" w:color="auto"/>
            <w:right w:val="none" w:sz="0" w:space="0" w:color="auto"/>
          </w:divBdr>
        </w:div>
      </w:divsChild>
    </w:div>
    <w:div w:id="1513450217">
      <w:bodyDiv w:val="1"/>
      <w:marLeft w:val="0"/>
      <w:marRight w:val="0"/>
      <w:marTop w:val="0"/>
      <w:marBottom w:val="0"/>
      <w:divBdr>
        <w:top w:val="none" w:sz="0" w:space="0" w:color="auto"/>
        <w:left w:val="none" w:sz="0" w:space="0" w:color="auto"/>
        <w:bottom w:val="none" w:sz="0" w:space="0" w:color="auto"/>
        <w:right w:val="none" w:sz="0" w:space="0" w:color="auto"/>
      </w:divBdr>
    </w:div>
    <w:div w:id="1566837067">
      <w:bodyDiv w:val="1"/>
      <w:marLeft w:val="0"/>
      <w:marRight w:val="0"/>
      <w:marTop w:val="0"/>
      <w:marBottom w:val="0"/>
      <w:divBdr>
        <w:top w:val="none" w:sz="0" w:space="0" w:color="auto"/>
        <w:left w:val="none" w:sz="0" w:space="0" w:color="auto"/>
        <w:bottom w:val="none" w:sz="0" w:space="0" w:color="auto"/>
        <w:right w:val="none" w:sz="0" w:space="0" w:color="auto"/>
      </w:divBdr>
      <w:divsChild>
        <w:div w:id="1361324871">
          <w:marLeft w:val="0"/>
          <w:marRight w:val="0"/>
          <w:marTop w:val="0"/>
          <w:marBottom w:val="0"/>
          <w:divBdr>
            <w:top w:val="none" w:sz="0" w:space="0" w:color="auto"/>
            <w:left w:val="none" w:sz="0" w:space="0" w:color="auto"/>
            <w:bottom w:val="none" w:sz="0" w:space="0" w:color="auto"/>
            <w:right w:val="none" w:sz="0" w:space="0" w:color="auto"/>
          </w:divBdr>
        </w:div>
        <w:div w:id="1460417932">
          <w:marLeft w:val="0"/>
          <w:marRight w:val="0"/>
          <w:marTop w:val="0"/>
          <w:marBottom w:val="0"/>
          <w:divBdr>
            <w:top w:val="none" w:sz="0" w:space="0" w:color="auto"/>
            <w:left w:val="none" w:sz="0" w:space="0" w:color="auto"/>
            <w:bottom w:val="none" w:sz="0" w:space="0" w:color="auto"/>
            <w:right w:val="none" w:sz="0" w:space="0" w:color="auto"/>
          </w:divBdr>
        </w:div>
      </w:divsChild>
    </w:div>
    <w:div w:id="1606041550">
      <w:bodyDiv w:val="1"/>
      <w:marLeft w:val="0"/>
      <w:marRight w:val="0"/>
      <w:marTop w:val="0"/>
      <w:marBottom w:val="0"/>
      <w:divBdr>
        <w:top w:val="none" w:sz="0" w:space="0" w:color="auto"/>
        <w:left w:val="none" w:sz="0" w:space="0" w:color="auto"/>
        <w:bottom w:val="none" w:sz="0" w:space="0" w:color="auto"/>
        <w:right w:val="none" w:sz="0" w:space="0" w:color="auto"/>
      </w:divBdr>
    </w:div>
    <w:div w:id="1757285325">
      <w:bodyDiv w:val="1"/>
      <w:marLeft w:val="0"/>
      <w:marRight w:val="0"/>
      <w:marTop w:val="0"/>
      <w:marBottom w:val="0"/>
      <w:divBdr>
        <w:top w:val="none" w:sz="0" w:space="0" w:color="auto"/>
        <w:left w:val="none" w:sz="0" w:space="0" w:color="auto"/>
        <w:bottom w:val="none" w:sz="0" w:space="0" w:color="auto"/>
        <w:right w:val="none" w:sz="0" w:space="0" w:color="auto"/>
      </w:divBdr>
    </w:div>
    <w:div w:id="1798791510">
      <w:bodyDiv w:val="1"/>
      <w:marLeft w:val="0"/>
      <w:marRight w:val="0"/>
      <w:marTop w:val="0"/>
      <w:marBottom w:val="0"/>
      <w:divBdr>
        <w:top w:val="none" w:sz="0" w:space="0" w:color="auto"/>
        <w:left w:val="none" w:sz="0" w:space="0" w:color="auto"/>
        <w:bottom w:val="none" w:sz="0" w:space="0" w:color="auto"/>
        <w:right w:val="none" w:sz="0" w:space="0" w:color="auto"/>
      </w:divBdr>
    </w:div>
    <w:div w:id="1857504156">
      <w:bodyDiv w:val="1"/>
      <w:marLeft w:val="0"/>
      <w:marRight w:val="0"/>
      <w:marTop w:val="0"/>
      <w:marBottom w:val="0"/>
      <w:divBdr>
        <w:top w:val="none" w:sz="0" w:space="0" w:color="auto"/>
        <w:left w:val="none" w:sz="0" w:space="0" w:color="auto"/>
        <w:bottom w:val="none" w:sz="0" w:space="0" w:color="auto"/>
        <w:right w:val="none" w:sz="0" w:space="0" w:color="auto"/>
      </w:divBdr>
      <w:divsChild>
        <w:div w:id="424233206">
          <w:marLeft w:val="0"/>
          <w:marRight w:val="0"/>
          <w:marTop w:val="0"/>
          <w:marBottom w:val="0"/>
          <w:divBdr>
            <w:top w:val="none" w:sz="0" w:space="0" w:color="auto"/>
            <w:left w:val="none" w:sz="0" w:space="0" w:color="auto"/>
            <w:bottom w:val="none" w:sz="0" w:space="0" w:color="auto"/>
            <w:right w:val="none" w:sz="0" w:space="0" w:color="auto"/>
          </w:divBdr>
        </w:div>
        <w:div w:id="583802308">
          <w:marLeft w:val="0"/>
          <w:marRight w:val="0"/>
          <w:marTop w:val="0"/>
          <w:marBottom w:val="0"/>
          <w:divBdr>
            <w:top w:val="none" w:sz="0" w:space="0" w:color="auto"/>
            <w:left w:val="none" w:sz="0" w:space="0" w:color="auto"/>
            <w:bottom w:val="none" w:sz="0" w:space="0" w:color="auto"/>
            <w:right w:val="none" w:sz="0" w:space="0" w:color="auto"/>
          </w:divBdr>
        </w:div>
      </w:divsChild>
    </w:div>
    <w:div w:id="1883977543">
      <w:bodyDiv w:val="1"/>
      <w:marLeft w:val="0"/>
      <w:marRight w:val="0"/>
      <w:marTop w:val="0"/>
      <w:marBottom w:val="0"/>
      <w:divBdr>
        <w:top w:val="none" w:sz="0" w:space="0" w:color="auto"/>
        <w:left w:val="none" w:sz="0" w:space="0" w:color="auto"/>
        <w:bottom w:val="none" w:sz="0" w:space="0" w:color="auto"/>
        <w:right w:val="none" w:sz="0" w:space="0" w:color="auto"/>
      </w:divBdr>
    </w:div>
    <w:div w:id="1909026468">
      <w:bodyDiv w:val="1"/>
      <w:marLeft w:val="0"/>
      <w:marRight w:val="0"/>
      <w:marTop w:val="0"/>
      <w:marBottom w:val="0"/>
      <w:divBdr>
        <w:top w:val="none" w:sz="0" w:space="0" w:color="auto"/>
        <w:left w:val="none" w:sz="0" w:space="0" w:color="auto"/>
        <w:bottom w:val="none" w:sz="0" w:space="0" w:color="auto"/>
        <w:right w:val="none" w:sz="0" w:space="0" w:color="auto"/>
      </w:divBdr>
    </w:div>
    <w:div w:id="1914469157">
      <w:bodyDiv w:val="1"/>
      <w:marLeft w:val="0"/>
      <w:marRight w:val="0"/>
      <w:marTop w:val="0"/>
      <w:marBottom w:val="0"/>
      <w:divBdr>
        <w:top w:val="none" w:sz="0" w:space="0" w:color="auto"/>
        <w:left w:val="none" w:sz="0" w:space="0" w:color="auto"/>
        <w:bottom w:val="none" w:sz="0" w:space="0" w:color="auto"/>
        <w:right w:val="none" w:sz="0" w:space="0" w:color="auto"/>
      </w:divBdr>
    </w:div>
    <w:div w:id="1937900171">
      <w:bodyDiv w:val="1"/>
      <w:marLeft w:val="0"/>
      <w:marRight w:val="0"/>
      <w:marTop w:val="0"/>
      <w:marBottom w:val="0"/>
      <w:divBdr>
        <w:top w:val="none" w:sz="0" w:space="0" w:color="auto"/>
        <w:left w:val="none" w:sz="0" w:space="0" w:color="auto"/>
        <w:bottom w:val="none" w:sz="0" w:space="0" w:color="auto"/>
        <w:right w:val="none" w:sz="0" w:space="0" w:color="auto"/>
      </w:divBdr>
    </w:div>
    <w:div w:id="2010323838">
      <w:bodyDiv w:val="1"/>
      <w:marLeft w:val="0"/>
      <w:marRight w:val="0"/>
      <w:marTop w:val="0"/>
      <w:marBottom w:val="0"/>
      <w:divBdr>
        <w:top w:val="none" w:sz="0" w:space="0" w:color="auto"/>
        <w:left w:val="none" w:sz="0" w:space="0" w:color="auto"/>
        <w:bottom w:val="none" w:sz="0" w:space="0" w:color="auto"/>
        <w:right w:val="none" w:sz="0" w:space="0" w:color="auto"/>
      </w:divBdr>
      <w:divsChild>
        <w:div w:id="863596848">
          <w:marLeft w:val="0"/>
          <w:marRight w:val="0"/>
          <w:marTop w:val="0"/>
          <w:marBottom w:val="0"/>
          <w:divBdr>
            <w:top w:val="none" w:sz="0" w:space="0" w:color="auto"/>
            <w:left w:val="none" w:sz="0" w:space="0" w:color="auto"/>
            <w:bottom w:val="none" w:sz="0" w:space="0" w:color="auto"/>
            <w:right w:val="none" w:sz="0" w:space="0" w:color="auto"/>
          </w:divBdr>
          <w:divsChild>
            <w:div w:id="917521711">
              <w:marLeft w:val="0"/>
              <w:marRight w:val="0"/>
              <w:marTop w:val="0"/>
              <w:marBottom w:val="0"/>
              <w:divBdr>
                <w:top w:val="none" w:sz="0" w:space="0" w:color="auto"/>
                <w:left w:val="none" w:sz="0" w:space="0" w:color="auto"/>
                <w:bottom w:val="none" w:sz="0" w:space="0" w:color="auto"/>
                <w:right w:val="none" w:sz="0" w:space="0" w:color="auto"/>
              </w:divBdr>
            </w:div>
            <w:div w:id="828054736">
              <w:marLeft w:val="0"/>
              <w:marRight w:val="0"/>
              <w:marTop w:val="0"/>
              <w:marBottom w:val="0"/>
              <w:divBdr>
                <w:top w:val="none" w:sz="0" w:space="0" w:color="auto"/>
                <w:left w:val="none" w:sz="0" w:space="0" w:color="auto"/>
                <w:bottom w:val="none" w:sz="0" w:space="0" w:color="auto"/>
                <w:right w:val="none" w:sz="0" w:space="0" w:color="auto"/>
              </w:divBdr>
            </w:div>
            <w:div w:id="1431507304">
              <w:marLeft w:val="0"/>
              <w:marRight w:val="0"/>
              <w:marTop w:val="0"/>
              <w:marBottom w:val="0"/>
              <w:divBdr>
                <w:top w:val="none" w:sz="0" w:space="0" w:color="auto"/>
                <w:left w:val="none" w:sz="0" w:space="0" w:color="auto"/>
                <w:bottom w:val="none" w:sz="0" w:space="0" w:color="auto"/>
                <w:right w:val="none" w:sz="0" w:space="0" w:color="auto"/>
              </w:divBdr>
            </w:div>
            <w:div w:id="1141077927">
              <w:marLeft w:val="0"/>
              <w:marRight w:val="0"/>
              <w:marTop w:val="0"/>
              <w:marBottom w:val="0"/>
              <w:divBdr>
                <w:top w:val="none" w:sz="0" w:space="0" w:color="auto"/>
                <w:left w:val="none" w:sz="0" w:space="0" w:color="auto"/>
                <w:bottom w:val="none" w:sz="0" w:space="0" w:color="auto"/>
                <w:right w:val="none" w:sz="0" w:space="0" w:color="auto"/>
              </w:divBdr>
            </w:div>
            <w:div w:id="1979802892">
              <w:marLeft w:val="0"/>
              <w:marRight w:val="0"/>
              <w:marTop w:val="0"/>
              <w:marBottom w:val="0"/>
              <w:divBdr>
                <w:top w:val="none" w:sz="0" w:space="0" w:color="auto"/>
                <w:left w:val="none" w:sz="0" w:space="0" w:color="auto"/>
                <w:bottom w:val="none" w:sz="0" w:space="0" w:color="auto"/>
                <w:right w:val="none" w:sz="0" w:space="0" w:color="auto"/>
              </w:divBdr>
            </w:div>
            <w:div w:id="723138962">
              <w:marLeft w:val="0"/>
              <w:marRight w:val="0"/>
              <w:marTop w:val="0"/>
              <w:marBottom w:val="0"/>
              <w:divBdr>
                <w:top w:val="none" w:sz="0" w:space="0" w:color="auto"/>
                <w:left w:val="none" w:sz="0" w:space="0" w:color="auto"/>
                <w:bottom w:val="none" w:sz="0" w:space="0" w:color="auto"/>
                <w:right w:val="none" w:sz="0" w:space="0" w:color="auto"/>
              </w:divBdr>
            </w:div>
            <w:div w:id="535391935">
              <w:marLeft w:val="0"/>
              <w:marRight w:val="0"/>
              <w:marTop w:val="0"/>
              <w:marBottom w:val="0"/>
              <w:divBdr>
                <w:top w:val="none" w:sz="0" w:space="0" w:color="auto"/>
                <w:left w:val="none" w:sz="0" w:space="0" w:color="auto"/>
                <w:bottom w:val="none" w:sz="0" w:space="0" w:color="auto"/>
                <w:right w:val="none" w:sz="0" w:space="0" w:color="auto"/>
              </w:divBdr>
            </w:div>
            <w:div w:id="1184784250">
              <w:marLeft w:val="0"/>
              <w:marRight w:val="0"/>
              <w:marTop w:val="0"/>
              <w:marBottom w:val="0"/>
              <w:divBdr>
                <w:top w:val="none" w:sz="0" w:space="0" w:color="auto"/>
                <w:left w:val="none" w:sz="0" w:space="0" w:color="auto"/>
                <w:bottom w:val="none" w:sz="0" w:space="0" w:color="auto"/>
                <w:right w:val="none" w:sz="0" w:space="0" w:color="auto"/>
              </w:divBdr>
            </w:div>
            <w:div w:id="1759865040">
              <w:marLeft w:val="0"/>
              <w:marRight w:val="0"/>
              <w:marTop w:val="0"/>
              <w:marBottom w:val="0"/>
              <w:divBdr>
                <w:top w:val="none" w:sz="0" w:space="0" w:color="auto"/>
                <w:left w:val="none" w:sz="0" w:space="0" w:color="auto"/>
                <w:bottom w:val="none" w:sz="0" w:space="0" w:color="auto"/>
                <w:right w:val="none" w:sz="0" w:space="0" w:color="auto"/>
              </w:divBdr>
            </w:div>
            <w:div w:id="167789021">
              <w:marLeft w:val="0"/>
              <w:marRight w:val="0"/>
              <w:marTop w:val="0"/>
              <w:marBottom w:val="0"/>
              <w:divBdr>
                <w:top w:val="none" w:sz="0" w:space="0" w:color="auto"/>
                <w:left w:val="none" w:sz="0" w:space="0" w:color="auto"/>
                <w:bottom w:val="none" w:sz="0" w:space="0" w:color="auto"/>
                <w:right w:val="none" w:sz="0" w:space="0" w:color="auto"/>
              </w:divBdr>
            </w:div>
            <w:div w:id="1558977054">
              <w:marLeft w:val="0"/>
              <w:marRight w:val="0"/>
              <w:marTop w:val="0"/>
              <w:marBottom w:val="0"/>
              <w:divBdr>
                <w:top w:val="none" w:sz="0" w:space="0" w:color="auto"/>
                <w:left w:val="none" w:sz="0" w:space="0" w:color="auto"/>
                <w:bottom w:val="none" w:sz="0" w:space="0" w:color="auto"/>
                <w:right w:val="none" w:sz="0" w:space="0" w:color="auto"/>
              </w:divBdr>
            </w:div>
            <w:div w:id="1904095663">
              <w:marLeft w:val="0"/>
              <w:marRight w:val="0"/>
              <w:marTop w:val="0"/>
              <w:marBottom w:val="0"/>
              <w:divBdr>
                <w:top w:val="none" w:sz="0" w:space="0" w:color="auto"/>
                <w:left w:val="none" w:sz="0" w:space="0" w:color="auto"/>
                <w:bottom w:val="none" w:sz="0" w:space="0" w:color="auto"/>
                <w:right w:val="none" w:sz="0" w:space="0" w:color="auto"/>
              </w:divBdr>
            </w:div>
            <w:div w:id="474568230">
              <w:marLeft w:val="0"/>
              <w:marRight w:val="0"/>
              <w:marTop w:val="0"/>
              <w:marBottom w:val="0"/>
              <w:divBdr>
                <w:top w:val="none" w:sz="0" w:space="0" w:color="auto"/>
                <w:left w:val="none" w:sz="0" w:space="0" w:color="auto"/>
                <w:bottom w:val="none" w:sz="0" w:space="0" w:color="auto"/>
                <w:right w:val="none" w:sz="0" w:space="0" w:color="auto"/>
              </w:divBdr>
            </w:div>
            <w:div w:id="293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3150">
      <w:bodyDiv w:val="1"/>
      <w:marLeft w:val="0"/>
      <w:marRight w:val="0"/>
      <w:marTop w:val="0"/>
      <w:marBottom w:val="0"/>
      <w:divBdr>
        <w:top w:val="none" w:sz="0" w:space="0" w:color="auto"/>
        <w:left w:val="none" w:sz="0" w:space="0" w:color="auto"/>
        <w:bottom w:val="none" w:sz="0" w:space="0" w:color="auto"/>
        <w:right w:val="none" w:sz="0" w:space="0" w:color="auto"/>
      </w:divBdr>
    </w:div>
    <w:div w:id="204717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damodar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file:///F:\RTV\REGLAMENTO%20PARA%20AUDIENCIAS%20ENERO-16\BASE%20SIMULADOR%2023-01-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uio-pm-nas01\users_data$\rvalencia\1.%20SENATEL-RAMIRO\7.%20TEMAS%20VARIOS\INFORMES%20UIM\MODELOS\RTV\Base%20de%20Datos%20Facturacion%20RTV%20V4.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F:\RTV\REGLAMENTO%20PARA%20AUDIENCIAS%20ENERO-16\BASE%20SIMULADOR%2023-01-16.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uio-pm-nas01\users_data$\rvalencia\1.%20SENATEL-RAMIRO\7.%20TEMAS%20VARIOS\INFORMES%20UIM\MODELOS\RTV\Base%20de%20Datos%20Facturacion%20RTV%20V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Century Gothic" panose="020B0502020202020204" pitchFamily="34" charset="0"/>
                <a:ea typeface="+mn-ea"/>
                <a:cs typeface="+mn-cs"/>
              </a:defRPr>
            </a:pPr>
            <a:r>
              <a:rPr lang="es-EC" b="1"/>
              <a:t>Distribución </a:t>
            </a:r>
            <a:r>
              <a:rPr lang="es-EC" b="1">
                <a:sym typeface="Symbol" panose="05050102010706020507" pitchFamily="18" charset="2"/>
              </a:rPr>
              <a:t></a:t>
            </a:r>
            <a:r>
              <a:rPr lang="es-EC" b="1"/>
              <a:t> radio </a:t>
            </a:r>
          </a:p>
          <a:p>
            <a:pPr>
              <a:defRPr b="1"/>
            </a:pPr>
            <a:r>
              <a:rPr lang="es-EC" b="1"/>
              <a:t>por cantones</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Century Gothic" panose="020B0502020202020204" pitchFamily="34" charset="0"/>
              <a:ea typeface="+mn-ea"/>
              <a:cs typeface="+mn-cs"/>
            </a:defRPr>
          </a:pPr>
          <a:endParaRPr lang="es-EC"/>
        </a:p>
      </c:txPr>
    </c:title>
    <c:autoTitleDeleted val="0"/>
    <c:plotArea>
      <c:layout/>
      <c:barChart>
        <c:barDir val="col"/>
        <c:grouping val="clustered"/>
        <c:varyColors val="0"/>
        <c:ser>
          <c:idx val="0"/>
          <c:order val="0"/>
          <c:tx>
            <c:strRef>
              <c:f>Hoja1!$O$4</c:f>
              <c:strCache>
                <c:ptCount val="1"/>
                <c:pt idx="0">
                  <c:v>alfa TV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s-EC"/>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Hoja1!$N$15:$N$21</c:f>
              <c:numCache>
                <c:formatCode>General</c:formatCode>
                <c:ptCount val="7"/>
                <c:pt idx="0">
                  <c:v>0.5</c:v>
                </c:pt>
                <c:pt idx="1">
                  <c:v>0.65</c:v>
                </c:pt>
                <c:pt idx="2">
                  <c:v>0.79</c:v>
                </c:pt>
                <c:pt idx="3">
                  <c:v>0.86</c:v>
                </c:pt>
                <c:pt idx="4">
                  <c:v>0.88</c:v>
                </c:pt>
                <c:pt idx="5">
                  <c:v>0.91</c:v>
                </c:pt>
                <c:pt idx="6">
                  <c:v>0.98</c:v>
                </c:pt>
              </c:numCache>
            </c:numRef>
          </c:cat>
          <c:val>
            <c:numRef>
              <c:f>Hoja1!$O$15:$O$21</c:f>
              <c:numCache>
                <c:formatCode>General</c:formatCode>
                <c:ptCount val="7"/>
                <c:pt idx="0">
                  <c:v>36</c:v>
                </c:pt>
                <c:pt idx="1">
                  <c:v>56</c:v>
                </c:pt>
                <c:pt idx="2">
                  <c:v>84</c:v>
                </c:pt>
                <c:pt idx="3">
                  <c:v>23</c:v>
                </c:pt>
                <c:pt idx="4">
                  <c:v>17</c:v>
                </c:pt>
                <c:pt idx="5">
                  <c:v>4</c:v>
                </c:pt>
                <c:pt idx="6">
                  <c:v>4</c:v>
                </c:pt>
              </c:numCache>
            </c:numRef>
          </c:val>
        </c:ser>
        <c:dLbls>
          <c:showLegendKey val="0"/>
          <c:showVal val="0"/>
          <c:showCatName val="0"/>
          <c:showSerName val="0"/>
          <c:showPercent val="0"/>
          <c:showBubbleSize val="0"/>
        </c:dLbls>
        <c:gapWidth val="219"/>
        <c:overlap val="-27"/>
        <c:axId val="189163192"/>
        <c:axId val="189165544"/>
      </c:barChart>
      <c:catAx>
        <c:axId val="18916319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Century Gothic" panose="020B0502020202020204" pitchFamily="34" charset="0"/>
                    <a:ea typeface="+mn-ea"/>
                    <a:cs typeface="+mn-cs"/>
                  </a:defRPr>
                </a:pPr>
                <a:r>
                  <a:rPr lang="es-EC" b="1"/>
                  <a:t>Valores de </a:t>
                </a:r>
                <a:r>
                  <a:rPr lang="el-GR" b="1"/>
                  <a:t>α</a:t>
                </a:r>
                <a:endParaRPr lang="es-EC" b="1"/>
              </a:p>
            </c:rich>
          </c:tx>
          <c:layout>
            <c:manualLayout>
              <c:xMode val="edge"/>
              <c:yMode val="edge"/>
              <c:x val="0.42742366579177604"/>
              <c:y val="0.8923377806940798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Century Gothic" panose="020B0502020202020204" pitchFamily="34" charset="0"/>
                  <a:ea typeface="+mn-ea"/>
                  <a:cs typeface="+mn-cs"/>
                </a:defRPr>
              </a:pPr>
              <a:endParaRPr lang="es-EC"/>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Century Gothic" panose="020B0502020202020204" pitchFamily="34" charset="0"/>
                <a:ea typeface="+mn-ea"/>
                <a:cs typeface="+mn-cs"/>
              </a:defRPr>
            </a:pPr>
            <a:endParaRPr lang="es-EC"/>
          </a:p>
        </c:txPr>
        <c:crossAx val="189165544"/>
        <c:crosses val="autoZero"/>
        <c:auto val="1"/>
        <c:lblAlgn val="ctr"/>
        <c:lblOffset val="100"/>
        <c:noMultiLvlLbl val="0"/>
      </c:catAx>
      <c:valAx>
        <c:axId val="189165544"/>
        <c:scaling>
          <c:orientation val="minMax"/>
        </c:scaling>
        <c:delete val="1"/>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Century Gothic" panose="020B0502020202020204" pitchFamily="34" charset="0"/>
                    <a:ea typeface="+mn-ea"/>
                    <a:cs typeface="+mn-cs"/>
                  </a:defRPr>
                </a:pPr>
                <a:r>
                  <a:rPr lang="es-EC" b="1"/>
                  <a:t>Número de Cantones</a:t>
                </a:r>
              </a:p>
            </c:rich>
          </c:tx>
          <c:layout>
            <c:manualLayout>
              <c:xMode val="edge"/>
              <c:yMode val="edge"/>
              <c:x val="4.1666666666666664E-2"/>
              <c:y val="0.2310418489355497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Century Gothic" panose="020B0502020202020204" pitchFamily="34" charset="0"/>
                  <a:ea typeface="+mn-ea"/>
                  <a:cs typeface="+mn-cs"/>
                </a:defRPr>
              </a:pPr>
              <a:endParaRPr lang="es-EC"/>
            </a:p>
          </c:txPr>
        </c:title>
        <c:numFmt formatCode="General" sourceLinked="1"/>
        <c:majorTickMark val="none"/>
        <c:minorTickMark val="none"/>
        <c:tickLblPos val="nextTo"/>
        <c:crossAx val="1891631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Century Gothic" panose="020B0502020202020204" pitchFamily="34" charset="0"/>
        </a:defRPr>
      </a:pPr>
      <a:endParaRPr lang="es-EC"/>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s-EC" sz="1400">
                <a:sym typeface="Symbol"/>
              </a:rPr>
              <a:t> - radio</a:t>
            </a:r>
            <a:endParaRPr lang="es-EC" sz="1400"/>
          </a:p>
        </c:rich>
      </c:tx>
      <c:layout/>
      <c:overlay val="0"/>
    </c:title>
    <c:autoTitleDeleted val="0"/>
    <c:plotArea>
      <c:layout/>
      <c:lineChart>
        <c:grouping val="standard"/>
        <c:varyColors val="0"/>
        <c:ser>
          <c:idx val="0"/>
          <c:order val="0"/>
          <c:tx>
            <c:v>alfa</c:v>
          </c:tx>
          <c:spPr>
            <a:ln>
              <a:noFill/>
            </a:ln>
          </c:spPr>
          <c:dLbls>
            <c:dLbl>
              <c:idx val="0"/>
              <c:layout>
                <c:manualLayout>
                  <c:x val="-4.3937664041994749E-2"/>
                  <c:y val="-0.1115857392825896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s-EC"/>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trendlineType val="linear"/>
            <c:dispRSqr val="1"/>
            <c:dispEq val="0"/>
            <c:trendlineLbl>
              <c:layout>
                <c:manualLayout>
                  <c:x val="6.8504954322570144E-2"/>
                  <c:y val="7.6806387225548903E-2"/>
                </c:manualLayout>
              </c:layout>
              <c:numFmt formatCode="General" sourceLinked="0"/>
              <c:txPr>
                <a:bodyPr/>
                <a:lstStyle/>
                <a:p>
                  <a:pPr>
                    <a:defRPr b="1"/>
                  </a:pPr>
                  <a:endParaRPr lang="es-EC"/>
                </a:p>
              </c:txPr>
            </c:trendlineLbl>
          </c:trendline>
          <c:val>
            <c:numRef>
              <c:f>'alfa radio'!$L$2:$L$8</c:f>
              <c:numCache>
                <c:formatCode>General</c:formatCode>
                <c:ptCount val="7"/>
                <c:pt idx="0">
                  <c:v>0.5</c:v>
                </c:pt>
                <c:pt idx="1">
                  <c:v>0.65</c:v>
                </c:pt>
                <c:pt idx="2">
                  <c:v>0.79</c:v>
                </c:pt>
                <c:pt idx="3">
                  <c:v>0.86</c:v>
                </c:pt>
                <c:pt idx="4">
                  <c:v>0.88</c:v>
                </c:pt>
                <c:pt idx="5">
                  <c:v>0.91</c:v>
                </c:pt>
                <c:pt idx="6">
                  <c:v>0.98</c:v>
                </c:pt>
              </c:numCache>
            </c:numRef>
          </c:val>
          <c:smooth val="0"/>
        </c:ser>
        <c:dLbls>
          <c:showLegendKey val="0"/>
          <c:showVal val="0"/>
          <c:showCatName val="0"/>
          <c:showSerName val="0"/>
          <c:showPercent val="0"/>
          <c:showBubbleSize val="0"/>
        </c:dLbls>
        <c:marker val="1"/>
        <c:smooth val="0"/>
        <c:axId val="146634360"/>
        <c:axId val="146634744"/>
      </c:lineChart>
      <c:catAx>
        <c:axId val="146634360"/>
        <c:scaling>
          <c:orientation val="minMax"/>
        </c:scaling>
        <c:delete val="0"/>
        <c:axPos val="b"/>
        <c:majorTickMark val="none"/>
        <c:minorTickMark val="none"/>
        <c:tickLblPos val="nextTo"/>
        <c:txPr>
          <a:bodyPr/>
          <a:lstStyle/>
          <a:p>
            <a:pPr>
              <a:defRPr sz="800"/>
            </a:pPr>
            <a:endParaRPr lang="es-EC"/>
          </a:p>
        </c:txPr>
        <c:crossAx val="146634744"/>
        <c:crosses val="autoZero"/>
        <c:auto val="1"/>
        <c:lblAlgn val="ctr"/>
        <c:lblOffset val="100"/>
        <c:noMultiLvlLbl val="0"/>
      </c:catAx>
      <c:valAx>
        <c:axId val="146634744"/>
        <c:scaling>
          <c:orientation val="minMax"/>
          <c:max val="1"/>
          <c:min val="0.30000000000000004"/>
        </c:scaling>
        <c:delete val="1"/>
        <c:axPos val="l"/>
        <c:numFmt formatCode="General" sourceLinked="1"/>
        <c:majorTickMark val="out"/>
        <c:minorTickMark val="none"/>
        <c:tickLblPos val="nextTo"/>
        <c:crossAx val="146634360"/>
        <c:crosses val="autoZero"/>
        <c:crossBetween val="between"/>
      </c:valAx>
    </c:plotArea>
    <c:legend>
      <c:legendPos val="b"/>
      <c:layout/>
      <c:overlay val="0"/>
      <c:txPr>
        <a:bodyPr/>
        <a:lstStyle/>
        <a:p>
          <a:pPr>
            <a:defRPr sz="900"/>
          </a:pPr>
          <a:endParaRPr lang="es-EC"/>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Century Gothic" panose="020B0502020202020204" pitchFamily="34" charset="0"/>
                <a:ea typeface="+mn-ea"/>
                <a:cs typeface="+mn-cs"/>
              </a:defRPr>
            </a:pPr>
            <a:r>
              <a:rPr lang="es-EC" b="1"/>
              <a:t>Distribución </a:t>
            </a:r>
            <a:r>
              <a:rPr lang="es-EC" b="1">
                <a:sym typeface="Symbol" panose="05050102010706020507" pitchFamily="18" charset="2"/>
              </a:rPr>
              <a:t></a:t>
            </a:r>
            <a:r>
              <a:rPr lang="es-EC" b="1"/>
              <a:t> TV </a:t>
            </a:r>
          </a:p>
          <a:p>
            <a:pPr>
              <a:defRPr b="1"/>
            </a:pPr>
            <a:r>
              <a:rPr lang="es-EC" b="1"/>
              <a:t>por cantones</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Century Gothic" panose="020B0502020202020204" pitchFamily="34" charset="0"/>
              <a:ea typeface="+mn-ea"/>
              <a:cs typeface="+mn-cs"/>
            </a:defRPr>
          </a:pPr>
          <a:endParaRPr lang="es-EC"/>
        </a:p>
      </c:txPr>
    </c:title>
    <c:autoTitleDeleted val="0"/>
    <c:plotArea>
      <c:layout/>
      <c:barChart>
        <c:barDir val="col"/>
        <c:grouping val="clustered"/>
        <c:varyColors val="0"/>
        <c:ser>
          <c:idx val="0"/>
          <c:order val="0"/>
          <c:tx>
            <c:strRef>
              <c:f>Hoja1!$O$4</c:f>
              <c:strCache>
                <c:ptCount val="1"/>
                <c:pt idx="0">
                  <c:v>alfa TV</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s-EC"/>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Hoja1!$N$5:$N$12</c:f>
              <c:numCache>
                <c:formatCode>General</c:formatCode>
                <c:ptCount val="8"/>
                <c:pt idx="0">
                  <c:v>0.09</c:v>
                </c:pt>
                <c:pt idx="1">
                  <c:v>0.12</c:v>
                </c:pt>
                <c:pt idx="2">
                  <c:v>0.21</c:v>
                </c:pt>
                <c:pt idx="3">
                  <c:v>0.65</c:v>
                </c:pt>
                <c:pt idx="4">
                  <c:v>0.69</c:v>
                </c:pt>
                <c:pt idx="5">
                  <c:v>0.82</c:v>
                </c:pt>
                <c:pt idx="6">
                  <c:v>0.91</c:v>
                </c:pt>
                <c:pt idx="7">
                  <c:v>1</c:v>
                </c:pt>
              </c:numCache>
            </c:numRef>
          </c:cat>
          <c:val>
            <c:numRef>
              <c:f>Hoja1!$O$5:$O$12</c:f>
              <c:numCache>
                <c:formatCode>General</c:formatCode>
                <c:ptCount val="8"/>
                <c:pt idx="0">
                  <c:v>48</c:v>
                </c:pt>
                <c:pt idx="1">
                  <c:v>34</c:v>
                </c:pt>
                <c:pt idx="2">
                  <c:v>47</c:v>
                </c:pt>
                <c:pt idx="3">
                  <c:v>49</c:v>
                </c:pt>
                <c:pt idx="4">
                  <c:v>18</c:v>
                </c:pt>
                <c:pt idx="5">
                  <c:v>19</c:v>
                </c:pt>
                <c:pt idx="6">
                  <c:v>8</c:v>
                </c:pt>
                <c:pt idx="7">
                  <c:v>1</c:v>
                </c:pt>
              </c:numCache>
            </c:numRef>
          </c:val>
        </c:ser>
        <c:dLbls>
          <c:showLegendKey val="0"/>
          <c:showVal val="0"/>
          <c:showCatName val="0"/>
          <c:showSerName val="0"/>
          <c:showPercent val="0"/>
          <c:showBubbleSize val="0"/>
        </c:dLbls>
        <c:gapWidth val="219"/>
        <c:overlap val="-27"/>
        <c:axId val="250525408"/>
        <c:axId val="250524232"/>
      </c:barChart>
      <c:catAx>
        <c:axId val="25052540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Century Gothic" panose="020B0502020202020204" pitchFamily="34" charset="0"/>
                    <a:ea typeface="+mn-ea"/>
                    <a:cs typeface="+mn-cs"/>
                  </a:defRPr>
                </a:pPr>
                <a:r>
                  <a:rPr lang="es-EC" b="1"/>
                  <a:t>Valores de </a:t>
                </a:r>
                <a:r>
                  <a:rPr lang="el-GR" b="1"/>
                  <a:t>α</a:t>
                </a:r>
                <a:endParaRPr lang="es-EC" b="1"/>
              </a:p>
            </c:rich>
          </c:tx>
          <c:layout>
            <c:manualLayout>
              <c:xMode val="edge"/>
              <c:yMode val="edge"/>
              <c:x val="0.42742366579177604"/>
              <c:y val="0.8923377806940798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Century Gothic" panose="020B0502020202020204" pitchFamily="34" charset="0"/>
                  <a:ea typeface="+mn-ea"/>
                  <a:cs typeface="+mn-cs"/>
                </a:defRPr>
              </a:pPr>
              <a:endParaRPr lang="es-EC"/>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Century Gothic" panose="020B0502020202020204" pitchFamily="34" charset="0"/>
                <a:ea typeface="+mn-ea"/>
                <a:cs typeface="+mn-cs"/>
              </a:defRPr>
            </a:pPr>
            <a:endParaRPr lang="es-EC"/>
          </a:p>
        </c:txPr>
        <c:crossAx val="250524232"/>
        <c:crosses val="autoZero"/>
        <c:auto val="1"/>
        <c:lblAlgn val="ctr"/>
        <c:lblOffset val="100"/>
        <c:noMultiLvlLbl val="0"/>
      </c:catAx>
      <c:valAx>
        <c:axId val="250524232"/>
        <c:scaling>
          <c:orientation val="minMax"/>
        </c:scaling>
        <c:delete val="1"/>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Century Gothic" panose="020B0502020202020204" pitchFamily="34" charset="0"/>
                    <a:ea typeface="+mn-ea"/>
                    <a:cs typeface="+mn-cs"/>
                  </a:defRPr>
                </a:pPr>
                <a:r>
                  <a:rPr lang="es-EC" b="1"/>
                  <a:t>Número de Cantones</a:t>
                </a:r>
              </a:p>
            </c:rich>
          </c:tx>
          <c:layout>
            <c:manualLayout>
              <c:xMode val="edge"/>
              <c:yMode val="edge"/>
              <c:x val="4.1666666666666664E-2"/>
              <c:y val="0.2310418489355497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Century Gothic" panose="020B0502020202020204" pitchFamily="34" charset="0"/>
                  <a:ea typeface="+mn-ea"/>
                  <a:cs typeface="+mn-cs"/>
                </a:defRPr>
              </a:pPr>
              <a:endParaRPr lang="es-EC"/>
            </a:p>
          </c:txPr>
        </c:title>
        <c:numFmt formatCode="General" sourceLinked="1"/>
        <c:majorTickMark val="none"/>
        <c:minorTickMark val="none"/>
        <c:tickLblPos val="nextTo"/>
        <c:crossAx val="2505254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Century Gothic" panose="020B0502020202020204" pitchFamily="34" charset="0"/>
        </a:defRPr>
      </a:pPr>
      <a:endParaRPr lang="es-EC"/>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s-EC" sz="1400">
                <a:sym typeface="Symbol"/>
              </a:rPr>
              <a:t> - TV</a:t>
            </a:r>
            <a:endParaRPr lang="es-EC" sz="1400"/>
          </a:p>
        </c:rich>
      </c:tx>
      <c:layout/>
      <c:overlay val="0"/>
    </c:title>
    <c:autoTitleDeleted val="0"/>
    <c:plotArea>
      <c:layout/>
      <c:lineChart>
        <c:grouping val="standard"/>
        <c:varyColors val="0"/>
        <c:ser>
          <c:idx val="0"/>
          <c:order val="0"/>
          <c:tx>
            <c:v>alfa </c:v>
          </c:tx>
          <c:spPr>
            <a:ln>
              <a:noFill/>
            </a:ln>
          </c:spPr>
          <c:dLbls>
            <c:dLbl>
              <c:idx val="1"/>
              <c:layout>
                <c:manualLayout>
                  <c:x val="-5.0979221347331585E-2"/>
                  <c:y val="-0.1254746281714786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985564304461943E-3"/>
                  <c:y val="8.7846310877806085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s-EC"/>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trendlineType val="linear"/>
            <c:dispRSqr val="1"/>
            <c:dispEq val="0"/>
            <c:trendlineLbl>
              <c:layout>
                <c:manualLayout>
                  <c:x val="5.2855295661571718E-2"/>
                  <c:y val="0.2111326860841424"/>
                </c:manualLayout>
              </c:layout>
              <c:numFmt formatCode="General" sourceLinked="0"/>
              <c:txPr>
                <a:bodyPr/>
                <a:lstStyle/>
                <a:p>
                  <a:pPr>
                    <a:defRPr b="1"/>
                  </a:pPr>
                  <a:endParaRPr lang="es-EC"/>
                </a:p>
              </c:txPr>
            </c:trendlineLbl>
          </c:trendline>
          <c:val>
            <c:numRef>
              <c:f>'alfa tv'!$K$2:$K$9</c:f>
              <c:numCache>
                <c:formatCode>General</c:formatCode>
                <c:ptCount val="8"/>
                <c:pt idx="0">
                  <c:v>0.09</c:v>
                </c:pt>
                <c:pt idx="1">
                  <c:v>0.12</c:v>
                </c:pt>
                <c:pt idx="2">
                  <c:v>0.21</c:v>
                </c:pt>
                <c:pt idx="3">
                  <c:v>0.65</c:v>
                </c:pt>
                <c:pt idx="4">
                  <c:v>0.69</c:v>
                </c:pt>
                <c:pt idx="5">
                  <c:v>0.82</c:v>
                </c:pt>
                <c:pt idx="6">
                  <c:v>0.91</c:v>
                </c:pt>
                <c:pt idx="7">
                  <c:v>1</c:v>
                </c:pt>
              </c:numCache>
            </c:numRef>
          </c:val>
          <c:smooth val="0"/>
        </c:ser>
        <c:dLbls>
          <c:showLegendKey val="0"/>
          <c:showVal val="0"/>
          <c:showCatName val="0"/>
          <c:showSerName val="0"/>
          <c:showPercent val="0"/>
          <c:showBubbleSize val="0"/>
        </c:dLbls>
        <c:marker val="1"/>
        <c:smooth val="0"/>
        <c:axId val="146716192"/>
        <c:axId val="146716576"/>
      </c:lineChart>
      <c:catAx>
        <c:axId val="146716192"/>
        <c:scaling>
          <c:orientation val="minMax"/>
        </c:scaling>
        <c:delete val="0"/>
        <c:axPos val="b"/>
        <c:majorTickMark val="none"/>
        <c:minorTickMark val="none"/>
        <c:tickLblPos val="nextTo"/>
        <c:txPr>
          <a:bodyPr/>
          <a:lstStyle/>
          <a:p>
            <a:pPr>
              <a:defRPr sz="800"/>
            </a:pPr>
            <a:endParaRPr lang="es-EC"/>
          </a:p>
        </c:txPr>
        <c:crossAx val="146716576"/>
        <c:crosses val="autoZero"/>
        <c:auto val="1"/>
        <c:lblAlgn val="ctr"/>
        <c:lblOffset val="100"/>
        <c:noMultiLvlLbl val="0"/>
      </c:catAx>
      <c:valAx>
        <c:axId val="146716576"/>
        <c:scaling>
          <c:orientation val="minMax"/>
          <c:max val="1"/>
        </c:scaling>
        <c:delete val="1"/>
        <c:axPos val="l"/>
        <c:numFmt formatCode="General" sourceLinked="1"/>
        <c:majorTickMark val="none"/>
        <c:minorTickMark val="none"/>
        <c:tickLblPos val="nextTo"/>
        <c:crossAx val="146716192"/>
        <c:crosses val="autoZero"/>
        <c:crossBetween val="between"/>
      </c:valAx>
    </c:plotArea>
    <c:legend>
      <c:legendPos val="b"/>
      <c:layout/>
      <c:overlay val="0"/>
      <c:txPr>
        <a:bodyPr/>
        <a:lstStyle/>
        <a:p>
          <a:pPr>
            <a:defRPr sz="900"/>
          </a:pPr>
          <a:endParaRPr lang="es-EC"/>
        </a:p>
      </c:txPr>
    </c:legend>
    <c:plotVisOnly val="1"/>
    <c:dispBlanksAs val="gap"/>
    <c:showDLblsOverMax val="0"/>
  </c:chart>
  <c:spPr>
    <a:noFill/>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5F6C-8A0A-4743-9B27-8C971232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22</Pages>
  <Words>3902</Words>
  <Characters>21466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Valencia</dc:creator>
  <cp:lastModifiedBy>RAMIRO</cp:lastModifiedBy>
  <cp:revision>43</cp:revision>
  <dcterms:created xsi:type="dcterms:W3CDTF">2016-01-23T17:16:00Z</dcterms:created>
  <dcterms:modified xsi:type="dcterms:W3CDTF">2016-01-24T17:47:00Z</dcterms:modified>
</cp:coreProperties>
</file>