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69" w:rsidRDefault="003465DB" w:rsidP="005D7198">
      <w:pPr>
        <w:pStyle w:val="Ttulo"/>
        <w:jc w:val="both"/>
        <w:rPr>
          <w:sz w:val="36"/>
        </w:rPr>
      </w:pPr>
      <w:r>
        <w:rPr>
          <w:sz w:val="36"/>
        </w:rPr>
        <w:t>MEGADATOS S.A</w:t>
      </w:r>
    </w:p>
    <w:p w:rsidR="0048372B" w:rsidRDefault="002435C2" w:rsidP="005D7198">
      <w:pPr>
        <w:pStyle w:val="Ttulo"/>
        <w:jc w:val="both"/>
        <w:rPr>
          <w:sz w:val="36"/>
        </w:rPr>
      </w:pPr>
      <w:r w:rsidRPr="002435C2">
        <w:rPr>
          <w:sz w:val="36"/>
        </w:rPr>
        <w:t>Observaciones a</w:t>
      </w:r>
      <w:r w:rsidR="009F64F3">
        <w:rPr>
          <w:sz w:val="36"/>
        </w:rPr>
        <w:t>l proyecto</w:t>
      </w:r>
      <w:r w:rsidRPr="002435C2">
        <w:rPr>
          <w:sz w:val="36"/>
        </w:rPr>
        <w:t xml:space="preserve"> “</w:t>
      </w:r>
      <w:r w:rsidR="00FB241E" w:rsidRPr="00FB241E">
        <w:rPr>
          <w:b/>
          <w:sz w:val="36"/>
        </w:rPr>
        <w:t>N</w:t>
      </w:r>
      <w:r w:rsidRPr="00FB241E">
        <w:rPr>
          <w:b/>
          <w:sz w:val="36"/>
        </w:rPr>
        <w:t>orma técnica para coordinar la gestión de incidentes y vulnerabilidades que afecten a la seguridad de las redes y servicios de telecomunicaciones</w:t>
      </w:r>
      <w:r w:rsidRPr="002435C2">
        <w:rPr>
          <w:sz w:val="36"/>
        </w:rPr>
        <w:t>”</w:t>
      </w:r>
    </w:p>
    <w:p w:rsidR="002435C2" w:rsidRDefault="002435C2" w:rsidP="005D7198">
      <w:pPr>
        <w:jc w:val="both"/>
      </w:pPr>
    </w:p>
    <w:p w:rsidR="004C3269" w:rsidRPr="002435C2" w:rsidRDefault="00EE60EC" w:rsidP="00EE60EC">
      <w:r>
        <w:rPr>
          <w:noProof/>
          <w:lang w:eastAsia="es-EC"/>
        </w:rPr>
        <w:drawing>
          <wp:inline distT="0" distB="0" distL="0" distR="0" wp14:anchorId="3B7D1F1F" wp14:editId="6A8CFB76">
            <wp:extent cx="5400040" cy="1279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37" w:rsidRPr="00FB241E" w:rsidRDefault="005D7198" w:rsidP="005D7198">
      <w:pPr>
        <w:jc w:val="both"/>
        <w:rPr>
          <w:i/>
          <w:color w:val="1F3864" w:themeColor="accent1" w:themeShade="80"/>
          <w:sz w:val="20"/>
          <w:szCs w:val="20"/>
        </w:rPr>
      </w:pPr>
      <w:r>
        <w:rPr>
          <w:i/>
          <w:color w:val="1F3864" w:themeColor="accent1" w:themeShade="80"/>
          <w:sz w:val="20"/>
          <w:szCs w:val="20"/>
        </w:rPr>
        <w:t xml:space="preserve">Comentario: </w:t>
      </w:r>
      <w:r w:rsidR="008F6637" w:rsidRPr="00FB241E">
        <w:rPr>
          <w:i/>
          <w:color w:val="1F3864" w:themeColor="accent1" w:themeShade="80"/>
          <w:sz w:val="20"/>
          <w:szCs w:val="20"/>
        </w:rPr>
        <w:t>De qué manera se puede presionar u obligar a los clientes/usuarios a cumplir con la normativa</w:t>
      </w:r>
      <w:r>
        <w:rPr>
          <w:i/>
          <w:color w:val="1F3864" w:themeColor="accent1" w:themeShade="80"/>
          <w:sz w:val="20"/>
          <w:szCs w:val="20"/>
        </w:rPr>
        <w:t>?</w:t>
      </w:r>
    </w:p>
    <w:p w:rsidR="008F6637" w:rsidRDefault="008F6637" w:rsidP="005D7198">
      <w:pPr>
        <w:jc w:val="both"/>
        <w:rPr>
          <w:sz w:val="20"/>
          <w:szCs w:val="20"/>
        </w:rPr>
      </w:pPr>
    </w:p>
    <w:p w:rsidR="008F6637" w:rsidRDefault="00EE60EC" w:rsidP="00EE60EC">
      <w:pPr>
        <w:pStyle w:val="Default"/>
        <w:jc w:val="center"/>
      </w:pPr>
      <w:r>
        <w:rPr>
          <w:noProof/>
          <w:lang w:eastAsia="es-EC"/>
        </w:rPr>
        <w:drawing>
          <wp:inline distT="0" distB="0" distL="0" distR="0" wp14:anchorId="13C4F228" wp14:editId="46851828">
            <wp:extent cx="5400040" cy="67183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37" w:rsidRPr="00FB241E" w:rsidRDefault="005D7198" w:rsidP="005D7198">
      <w:pPr>
        <w:jc w:val="both"/>
        <w:rPr>
          <w:i/>
          <w:color w:val="1F3864" w:themeColor="accent1" w:themeShade="80"/>
        </w:rPr>
      </w:pPr>
      <w:r>
        <w:rPr>
          <w:i/>
          <w:color w:val="1F3864" w:themeColor="accent1" w:themeShade="80"/>
        </w:rPr>
        <w:t xml:space="preserve">Comentario: </w:t>
      </w:r>
      <w:r w:rsidR="008F6637" w:rsidRPr="00FB241E">
        <w:rPr>
          <w:i/>
          <w:color w:val="1F3864" w:themeColor="accent1" w:themeShade="80"/>
        </w:rPr>
        <w:t>Cualquier entidad o persona natural o jurídica puede ser una fuente de información</w:t>
      </w:r>
      <w:proofErr w:type="gramStart"/>
      <w:r w:rsidR="008F6637" w:rsidRPr="00FB241E">
        <w:rPr>
          <w:i/>
          <w:color w:val="1F3864" w:themeColor="accent1" w:themeShade="80"/>
        </w:rPr>
        <w:t>?</w:t>
      </w:r>
      <w:proofErr w:type="gramEnd"/>
    </w:p>
    <w:p w:rsidR="008F6637" w:rsidRDefault="008F6637" w:rsidP="005D7198">
      <w:pPr>
        <w:jc w:val="both"/>
        <w:rPr>
          <w:i/>
        </w:rPr>
      </w:pPr>
    </w:p>
    <w:p w:rsidR="005A1402" w:rsidRDefault="00EE60EC" w:rsidP="005D7198">
      <w:pPr>
        <w:pStyle w:val="Default"/>
        <w:jc w:val="both"/>
      </w:pPr>
      <w:r>
        <w:rPr>
          <w:noProof/>
          <w:lang w:eastAsia="es-EC"/>
        </w:rPr>
        <w:drawing>
          <wp:inline distT="0" distB="0" distL="0" distR="0" wp14:anchorId="279BCF3A" wp14:editId="23D7F158">
            <wp:extent cx="5400040" cy="8648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402" w:rsidRPr="00FB241E" w:rsidRDefault="005D7198" w:rsidP="005D7198">
      <w:pPr>
        <w:jc w:val="both"/>
        <w:rPr>
          <w:i/>
          <w:color w:val="1F3864" w:themeColor="accent1" w:themeShade="80"/>
        </w:rPr>
      </w:pPr>
      <w:r>
        <w:rPr>
          <w:i/>
          <w:color w:val="1F3864" w:themeColor="accent1" w:themeShade="80"/>
        </w:rPr>
        <w:t>Comentario:</w:t>
      </w:r>
      <w:r w:rsidR="00EE60EC">
        <w:rPr>
          <w:i/>
          <w:color w:val="1F3864" w:themeColor="accent1" w:themeShade="80"/>
        </w:rPr>
        <w:t xml:space="preserve"> </w:t>
      </w:r>
      <w:r w:rsidR="005A1402" w:rsidRPr="00FB241E">
        <w:rPr>
          <w:i/>
          <w:color w:val="1F3864" w:themeColor="accent1" w:themeShade="80"/>
        </w:rPr>
        <w:t>Los prestadores de servicios y personas naturales o jurídicas pueden originar las notificaciones</w:t>
      </w:r>
      <w:proofErr w:type="gramStart"/>
      <w:r w:rsidR="005A1402" w:rsidRPr="00FB241E">
        <w:rPr>
          <w:i/>
          <w:color w:val="1F3864" w:themeColor="accent1" w:themeShade="80"/>
        </w:rPr>
        <w:t>?</w:t>
      </w:r>
      <w:proofErr w:type="gramEnd"/>
    </w:p>
    <w:p w:rsidR="005A1402" w:rsidRDefault="005A1402" w:rsidP="005D7198">
      <w:pPr>
        <w:jc w:val="both"/>
        <w:rPr>
          <w:i/>
        </w:rPr>
      </w:pPr>
    </w:p>
    <w:p w:rsidR="005A1402" w:rsidRDefault="00EE60EC" w:rsidP="005D7198">
      <w:pPr>
        <w:jc w:val="both"/>
        <w:rPr>
          <w:i/>
          <w:color w:val="1F3864" w:themeColor="accent1" w:themeShade="80"/>
        </w:rPr>
      </w:pPr>
      <w:r>
        <w:rPr>
          <w:noProof/>
          <w:lang w:eastAsia="es-EC"/>
        </w:rPr>
        <w:drawing>
          <wp:inline distT="0" distB="0" distL="0" distR="0" wp14:anchorId="37FE4E11" wp14:editId="6259FBEF">
            <wp:extent cx="5400040" cy="3454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198">
        <w:rPr>
          <w:i/>
          <w:color w:val="1F3864" w:themeColor="accent1" w:themeShade="80"/>
        </w:rPr>
        <w:t xml:space="preserve">Comentario: </w:t>
      </w:r>
      <w:r w:rsidR="005A1402" w:rsidRPr="00FB241E">
        <w:rPr>
          <w:i/>
          <w:color w:val="1F3864" w:themeColor="accent1" w:themeShade="80"/>
        </w:rPr>
        <w:t>Los prestadores podrían tener sus propias políticas sustentadas en normas internacionales que se ajusten a su realidad</w:t>
      </w:r>
      <w:r w:rsidR="005D7198">
        <w:rPr>
          <w:i/>
          <w:color w:val="1F3864" w:themeColor="accent1" w:themeShade="80"/>
        </w:rPr>
        <w:t>, por lo que La ARCOTEL debería solicitar la política de seguridad a los prestadores mas no imponerla.</w:t>
      </w:r>
    </w:p>
    <w:p w:rsidR="00F42799" w:rsidRPr="00EE60EC" w:rsidRDefault="00F42799" w:rsidP="005D7198">
      <w:pPr>
        <w:jc w:val="both"/>
        <w:rPr>
          <w:i/>
        </w:rPr>
      </w:pPr>
      <w:r>
        <w:rPr>
          <w:i/>
          <w:color w:val="1F3864" w:themeColor="accent1" w:themeShade="80"/>
        </w:rPr>
        <w:t>Comentario</w:t>
      </w:r>
      <w:r w:rsidR="008A62ED">
        <w:rPr>
          <w:i/>
          <w:color w:val="1F3864" w:themeColor="accent1" w:themeShade="80"/>
        </w:rPr>
        <w:t xml:space="preserve"> 2</w:t>
      </w:r>
      <w:r>
        <w:rPr>
          <w:i/>
          <w:color w:val="1F3864" w:themeColor="accent1" w:themeShade="80"/>
        </w:rPr>
        <w:t>: Insertar un párrafo con numeral 16 en el artículo 3 que contenga:</w:t>
      </w:r>
    </w:p>
    <w:p w:rsidR="00F42799" w:rsidRPr="00F42799" w:rsidRDefault="00F42799" w:rsidP="00F42799">
      <w:pPr>
        <w:pStyle w:val="Prrafodelista"/>
        <w:numPr>
          <w:ilvl w:val="0"/>
          <w:numId w:val="3"/>
        </w:numPr>
        <w:tabs>
          <w:tab w:val="left" w:pos="720"/>
        </w:tabs>
        <w:spacing w:after="0" w:line="236" w:lineRule="auto"/>
        <w:jc w:val="both"/>
        <w:rPr>
          <w:rFonts w:ascii="Arial" w:eastAsia="Arial" w:hAnsi="Arial"/>
          <w:i/>
          <w:color w:val="44546A" w:themeColor="text2"/>
          <w:sz w:val="16"/>
        </w:rPr>
      </w:pPr>
      <w:proofErr w:type="gramStart"/>
      <w:r w:rsidRPr="00F42799">
        <w:rPr>
          <w:rFonts w:ascii="Arial" w:eastAsia="Arial" w:hAnsi="Arial"/>
          <w:i/>
          <w:color w:val="44546A" w:themeColor="text2"/>
          <w:sz w:val="16"/>
        </w:rPr>
        <w:t>Redes .</w:t>
      </w:r>
      <w:proofErr w:type="gramEnd"/>
      <w:r w:rsidRPr="00F42799">
        <w:rPr>
          <w:rFonts w:ascii="Arial" w:eastAsia="Arial" w:hAnsi="Arial"/>
          <w:i/>
          <w:color w:val="44546A" w:themeColor="text2"/>
          <w:sz w:val="16"/>
        </w:rPr>
        <w:t xml:space="preserve">- Son  sistemas  de  almacenamiento,  procesamiento  y  transmisión  de  datos.  Están compuestos  de  elementos  de  </w:t>
      </w:r>
      <w:proofErr w:type="spellStart"/>
      <w:r w:rsidRPr="00F42799">
        <w:rPr>
          <w:rFonts w:ascii="Arial" w:eastAsia="Arial" w:hAnsi="Arial"/>
          <w:i/>
          <w:color w:val="44546A" w:themeColor="text2"/>
          <w:sz w:val="16"/>
        </w:rPr>
        <w:t>tansmisión</w:t>
      </w:r>
      <w:proofErr w:type="spellEnd"/>
      <w:r w:rsidRPr="00F42799">
        <w:rPr>
          <w:rFonts w:ascii="Arial" w:eastAsia="Arial" w:hAnsi="Arial"/>
          <w:i/>
          <w:color w:val="44546A" w:themeColor="text2"/>
          <w:sz w:val="16"/>
        </w:rPr>
        <w:t xml:space="preserve">  (cables,  enlaces  inalámbricos,  satélites,  encaminadores, pasarelas, conmutadores, etc.) y de servicios de apoyo (sistema de nombres de dominio incluidos los  servidores  raíz,  servicio  de  identificación  de  llamadas,  servicios  de  autenticación,  etc.). Conectadas a las redes existe un número cada vez mayor de aplicaciones (sistemas de entrega de correo  electrónico,  navegadores,  </w:t>
      </w:r>
      <w:proofErr w:type="spellStart"/>
      <w:r w:rsidRPr="00F42799">
        <w:rPr>
          <w:rFonts w:ascii="Arial" w:eastAsia="Arial" w:hAnsi="Arial"/>
          <w:i/>
          <w:color w:val="44546A" w:themeColor="text2"/>
          <w:sz w:val="16"/>
        </w:rPr>
        <w:t>etc</w:t>
      </w:r>
      <w:proofErr w:type="spellEnd"/>
      <w:r w:rsidRPr="00F42799">
        <w:rPr>
          <w:rFonts w:ascii="Arial" w:eastAsia="Arial" w:hAnsi="Arial"/>
          <w:i/>
          <w:color w:val="44546A" w:themeColor="text2"/>
          <w:sz w:val="16"/>
        </w:rPr>
        <w:t>)  y  de  equipos  terminales  (teléfono,  ordenadores  centrales, ordenadores personales, teléfonos móviles, organizadores personales, aparatos electrodomésticos, máquinas industriales, etc.).</w:t>
      </w:r>
    </w:p>
    <w:p w:rsidR="005A1402" w:rsidRDefault="005A1402" w:rsidP="005D7198">
      <w:pPr>
        <w:jc w:val="both"/>
        <w:rPr>
          <w:i/>
        </w:rPr>
      </w:pPr>
    </w:p>
    <w:p w:rsidR="00EE60EC" w:rsidRDefault="00EE60EC" w:rsidP="005D7198">
      <w:pPr>
        <w:jc w:val="both"/>
        <w:rPr>
          <w:i/>
        </w:rPr>
      </w:pPr>
      <w:r>
        <w:rPr>
          <w:noProof/>
          <w:lang w:eastAsia="es-EC"/>
        </w:rPr>
        <w:lastRenderedPageBreak/>
        <w:drawing>
          <wp:inline distT="0" distB="0" distL="0" distR="0" wp14:anchorId="37C3E792" wp14:editId="39AA8F56">
            <wp:extent cx="5400040" cy="2947670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402" w:rsidRDefault="005D7198" w:rsidP="005D7198">
      <w:pPr>
        <w:jc w:val="both"/>
        <w:rPr>
          <w:i/>
          <w:color w:val="1F3864" w:themeColor="accent1" w:themeShade="80"/>
          <w:sz w:val="20"/>
          <w:szCs w:val="20"/>
        </w:rPr>
      </w:pPr>
      <w:r>
        <w:rPr>
          <w:i/>
          <w:color w:val="1F3864" w:themeColor="accent1" w:themeShade="80"/>
          <w:sz w:val="20"/>
          <w:szCs w:val="20"/>
        </w:rPr>
        <w:t xml:space="preserve">Comentario: </w:t>
      </w:r>
      <w:r w:rsidR="005A1402" w:rsidRPr="00FB241E">
        <w:rPr>
          <w:i/>
          <w:color w:val="1F3864" w:themeColor="accent1" w:themeShade="80"/>
          <w:sz w:val="20"/>
          <w:szCs w:val="20"/>
        </w:rPr>
        <w:t>Debe aplicarse cumplimiento obligatorio según el tipo de incidente o vulnerabilidad y para otros casos debe referirse o basarse en recomendaciones y buena prácticas</w:t>
      </w:r>
      <w:r>
        <w:rPr>
          <w:i/>
          <w:color w:val="1F3864" w:themeColor="accent1" w:themeShade="80"/>
          <w:sz w:val="20"/>
          <w:szCs w:val="20"/>
        </w:rPr>
        <w:t>.</w:t>
      </w:r>
    </w:p>
    <w:p w:rsidR="005D7198" w:rsidRPr="00FB241E" w:rsidRDefault="005D7198" w:rsidP="005D7198">
      <w:pPr>
        <w:jc w:val="both"/>
        <w:rPr>
          <w:i/>
          <w:color w:val="1F3864" w:themeColor="accent1" w:themeShade="80"/>
          <w:sz w:val="20"/>
          <w:szCs w:val="20"/>
        </w:rPr>
      </w:pPr>
      <w:r>
        <w:rPr>
          <w:i/>
          <w:color w:val="1F3864" w:themeColor="accent1" w:themeShade="80"/>
          <w:sz w:val="20"/>
          <w:szCs w:val="20"/>
        </w:rPr>
        <w:t>En caso de una vulnerabilidad, el operador debe gestionar</w:t>
      </w:r>
      <w:r w:rsidR="004827DA">
        <w:rPr>
          <w:i/>
          <w:color w:val="1F3864" w:themeColor="accent1" w:themeShade="80"/>
          <w:sz w:val="20"/>
          <w:szCs w:val="20"/>
        </w:rPr>
        <w:t xml:space="preserve"> y posteriormente notificar a </w:t>
      </w:r>
      <w:r>
        <w:rPr>
          <w:i/>
          <w:color w:val="1F3864" w:themeColor="accent1" w:themeShade="80"/>
          <w:sz w:val="20"/>
          <w:szCs w:val="20"/>
        </w:rPr>
        <w:t xml:space="preserve"> LA ARCOTEL</w:t>
      </w:r>
    </w:p>
    <w:p w:rsidR="00DA36E8" w:rsidRDefault="00DA36E8" w:rsidP="005D7198">
      <w:pPr>
        <w:pStyle w:val="Default"/>
        <w:jc w:val="both"/>
      </w:pPr>
    </w:p>
    <w:p w:rsidR="004C3269" w:rsidRDefault="004C3269" w:rsidP="005D7198">
      <w:pPr>
        <w:pStyle w:val="Default"/>
        <w:jc w:val="both"/>
      </w:pPr>
    </w:p>
    <w:p w:rsidR="00DA36E8" w:rsidRDefault="004827DA" w:rsidP="005D7198">
      <w:pPr>
        <w:pStyle w:val="Default"/>
        <w:jc w:val="both"/>
      </w:pPr>
      <w:r>
        <w:rPr>
          <w:noProof/>
          <w:lang w:eastAsia="es-EC"/>
        </w:rPr>
        <w:drawing>
          <wp:inline distT="0" distB="0" distL="0" distR="0" wp14:anchorId="7E03C79D" wp14:editId="7771CA19">
            <wp:extent cx="5400040" cy="2644775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6E8" w:rsidRPr="00FB241E" w:rsidRDefault="005D7198" w:rsidP="005D7198">
      <w:pPr>
        <w:jc w:val="both"/>
        <w:rPr>
          <w:i/>
          <w:color w:val="1F3864" w:themeColor="accent1" w:themeShade="80"/>
        </w:rPr>
      </w:pPr>
      <w:r>
        <w:rPr>
          <w:i/>
          <w:color w:val="1F3864" w:themeColor="accent1" w:themeShade="80"/>
        </w:rPr>
        <w:t xml:space="preserve">Comentario: </w:t>
      </w:r>
      <w:r w:rsidR="00DA36E8" w:rsidRPr="00FB241E">
        <w:rPr>
          <w:i/>
          <w:color w:val="1F3864" w:themeColor="accent1" w:themeShade="80"/>
        </w:rPr>
        <w:t xml:space="preserve">Se solicita que </w:t>
      </w:r>
      <w:r>
        <w:rPr>
          <w:i/>
          <w:color w:val="1F3864" w:themeColor="accent1" w:themeShade="80"/>
        </w:rPr>
        <w:t>La ARCOTEL</w:t>
      </w:r>
      <w:r w:rsidR="00DA36E8" w:rsidRPr="00FB241E">
        <w:rPr>
          <w:i/>
          <w:color w:val="1F3864" w:themeColor="accent1" w:themeShade="80"/>
        </w:rPr>
        <w:t xml:space="preserve"> además de limitarse a notificar a los prestadores sobre los incidentes, debe a través del </w:t>
      </w:r>
      <w:proofErr w:type="spellStart"/>
      <w:r w:rsidR="00DA36E8" w:rsidRPr="00FB241E">
        <w:rPr>
          <w:i/>
          <w:color w:val="1F3864" w:themeColor="accent1" w:themeShade="80"/>
        </w:rPr>
        <w:t>Ecucert</w:t>
      </w:r>
      <w:proofErr w:type="spellEnd"/>
      <w:r w:rsidR="00DA36E8" w:rsidRPr="00FB241E">
        <w:rPr>
          <w:i/>
          <w:color w:val="1F3864" w:themeColor="accent1" w:themeShade="80"/>
        </w:rPr>
        <w:t xml:space="preserve"> realizar un análisis previo de lo reportado para, de ser el caso, notificar a los prestadores o quienes originaron el reporte.</w:t>
      </w:r>
    </w:p>
    <w:p w:rsidR="00DA36E8" w:rsidRDefault="00DA36E8" w:rsidP="005D7198">
      <w:pPr>
        <w:jc w:val="both"/>
        <w:rPr>
          <w:i/>
        </w:rPr>
      </w:pPr>
    </w:p>
    <w:p w:rsidR="00DA36E8" w:rsidRPr="00FB241E" w:rsidRDefault="004827DA" w:rsidP="005D7198">
      <w:pPr>
        <w:jc w:val="both"/>
        <w:rPr>
          <w:i/>
          <w:color w:val="1F3864" w:themeColor="accent1" w:themeShade="80"/>
        </w:rPr>
      </w:pPr>
      <w:r>
        <w:rPr>
          <w:noProof/>
          <w:lang w:eastAsia="es-EC"/>
        </w:rPr>
        <w:drawing>
          <wp:inline distT="0" distB="0" distL="0" distR="0" wp14:anchorId="45F1409A" wp14:editId="539955DF">
            <wp:extent cx="5400040" cy="68516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1F3864" w:themeColor="accent1" w:themeShade="80"/>
        </w:rPr>
        <w:t xml:space="preserve"> </w:t>
      </w:r>
      <w:r w:rsidR="00FC769A">
        <w:rPr>
          <w:i/>
          <w:color w:val="1F3864" w:themeColor="accent1" w:themeShade="80"/>
        </w:rPr>
        <w:t xml:space="preserve">Comentario: </w:t>
      </w:r>
      <w:r w:rsidR="00DA36E8" w:rsidRPr="00FB241E">
        <w:rPr>
          <w:i/>
          <w:color w:val="1F3864" w:themeColor="accent1" w:themeShade="80"/>
        </w:rPr>
        <w:t>Se sugiere que exista un único medio sistematizado de gestión de incidentes y vulnerabilidades para poder tener trazabilidad y registro</w:t>
      </w:r>
    </w:p>
    <w:p w:rsidR="00DA36E8" w:rsidRDefault="00DA36E8" w:rsidP="005D7198">
      <w:pPr>
        <w:jc w:val="both"/>
        <w:rPr>
          <w:i/>
        </w:rPr>
      </w:pPr>
    </w:p>
    <w:p w:rsidR="00DA36E8" w:rsidRDefault="00DA36E8" w:rsidP="005D7198">
      <w:pPr>
        <w:pStyle w:val="Default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Artículo 9</w:t>
      </w:r>
    </w:p>
    <w:p w:rsidR="004827DA" w:rsidRDefault="004827DA" w:rsidP="005D7198">
      <w:pPr>
        <w:pStyle w:val="Default"/>
        <w:jc w:val="both"/>
      </w:pPr>
      <w:r>
        <w:rPr>
          <w:noProof/>
          <w:lang w:eastAsia="es-EC"/>
        </w:rPr>
        <w:drawing>
          <wp:inline distT="0" distB="0" distL="0" distR="0" wp14:anchorId="10DAD0F9" wp14:editId="5097E0B6">
            <wp:extent cx="5400040" cy="17602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6E8" w:rsidRDefault="00DA36E8" w:rsidP="005D7198">
      <w:pPr>
        <w:pStyle w:val="Default"/>
        <w:jc w:val="both"/>
      </w:pPr>
    </w:p>
    <w:p w:rsidR="00DA36E8" w:rsidRDefault="00DA36E8" w:rsidP="005D7198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b. Información Pública Comunitaria (TLP: Verde.- Difusión dentro de la comunidad) </w:t>
      </w:r>
    </w:p>
    <w:p w:rsidR="00DA36E8" w:rsidRDefault="00DA36E8" w:rsidP="005D7198">
      <w:pPr>
        <w:jc w:val="both"/>
        <w:rPr>
          <w:sz w:val="20"/>
          <w:szCs w:val="20"/>
        </w:rPr>
      </w:pPr>
      <w:r w:rsidRPr="0023707C">
        <w:rPr>
          <w:sz w:val="20"/>
          <w:szCs w:val="20"/>
          <w:highlight w:val="yellow"/>
        </w:rPr>
        <w:t xml:space="preserve">La </w:t>
      </w:r>
      <w:proofErr w:type="spellStart"/>
      <w:r w:rsidR="005D7198">
        <w:rPr>
          <w:sz w:val="20"/>
          <w:szCs w:val="20"/>
          <w:highlight w:val="yellow"/>
        </w:rPr>
        <w:t>LA</w:t>
      </w:r>
      <w:proofErr w:type="spellEnd"/>
      <w:r w:rsidR="005D7198">
        <w:rPr>
          <w:sz w:val="20"/>
          <w:szCs w:val="20"/>
          <w:highlight w:val="yellow"/>
        </w:rPr>
        <w:t xml:space="preserve"> ARCOTEL</w:t>
      </w:r>
      <w:r w:rsidRPr="0023707C">
        <w:rPr>
          <w:sz w:val="20"/>
          <w:szCs w:val="20"/>
          <w:highlight w:val="yellow"/>
        </w:rPr>
        <w:t xml:space="preserve"> o el prestador de servicios del régimen general de telecomunicaciones podrán compartir la información con miembros específicos de la Comunidad Objetivo</w:t>
      </w:r>
      <w:r>
        <w:rPr>
          <w:sz w:val="20"/>
          <w:szCs w:val="20"/>
        </w:rPr>
        <w:t>, anonimizando la información para no causar perjuicio al propietario de la misma. Este tipo de información nunca debe ser publicada en internet o cualquier medio al cual el público en general pueda acceder.</w:t>
      </w:r>
    </w:p>
    <w:p w:rsidR="004827DA" w:rsidRDefault="004827DA" w:rsidP="004827DA">
      <w:pPr>
        <w:pStyle w:val="Default"/>
        <w:jc w:val="both"/>
        <w:rPr>
          <w:b/>
          <w:bCs/>
          <w:sz w:val="20"/>
          <w:szCs w:val="20"/>
          <w:lang w:val="en-US"/>
        </w:rPr>
      </w:pPr>
      <w:proofErr w:type="spellStart"/>
      <w:r w:rsidRPr="004C3269">
        <w:rPr>
          <w:b/>
          <w:bCs/>
          <w:sz w:val="20"/>
          <w:szCs w:val="20"/>
          <w:lang w:val="en-US"/>
        </w:rPr>
        <w:t>Artículo</w:t>
      </w:r>
      <w:proofErr w:type="spellEnd"/>
      <w:r w:rsidRPr="004C3269">
        <w:rPr>
          <w:b/>
          <w:bCs/>
          <w:sz w:val="20"/>
          <w:szCs w:val="20"/>
          <w:lang w:val="en-US"/>
        </w:rPr>
        <w:t xml:space="preserve"> 3</w:t>
      </w:r>
    </w:p>
    <w:p w:rsidR="004827DA" w:rsidRPr="004C3269" w:rsidRDefault="004827DA" w:rsidP="004827DA">
      <w:pPr>
        <w:pStyle w:val="Default"/>
        <w:jc w:val="both"/>
        <w:rPr>
          <w:lang w:val="en-US"/>
        </w:rPr>
      </w:pPr>
      <w:r>
        <w:rPr>
          <w:noProof/>
          <w:lang w:eastAsia="es-EC"/>
        </w:rPr>
        <w:drawing>
          <wp:inline distT="0" distB="0" distL="0" distR="0" wp14:anchorId="0672228F" wp14:editId="63A4816B">
            <wp:extent cx="5400040" cy="568960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7DA" w:rsidRDefault="004827DA" w:rsidP="004827DA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DA36E8" w:rsidRDefault="00FC769A" w:rsidP="005D7198">
      <w:pPr>
        <w:jc w:val="both"/>
        <w:rPr>
          <w:i/>
          <w:color w:val="1F3864" w:themeColor="accent1" w:themeShade="80"/>
          <w:sz w:val="20"/>
          <w:szCs w:val="20"/>
        </w:rPr>
      </w:pPr>
      <w:r>
        <w:rPr>
          <w:i/>
          <w:color w:val="1F3864" w:themeColor="accent1" w:themeShade="80"/>
          <w:sz w:val="20"/>
          <w:szCs w:val="20"/>
        </w:rPr>
        <w:t xml:space="preserve">Comentario: </w:t>
      </w:r>
      <w:r w:rsidR="00DA36E8" w:rsidRPr="00FB241E">
        <w:rPr>
          <w:i/>
          <w:color w:val="1F3864" w:themeColor="accent1" w:themeShade="80"/>
          <w:sz w:val="20"/>
          <w:szCs w:val="20"/>
        </w:rPr>
        <w:t>Esto no va de acuerdo a la definición del protocolo TLP, misma que limita el uso de éste a los centros de respuesta a incidentes</w:t>
      </w:r>
      <w:r>
        <w:rPr>
          <w:i/>
          <w:color w:val="1F3864" w:themeColor="accent1" w:themeShade="80"/>
          <w:sz w:val="20"/>
          <w:szCs w:val="20"/>
        </w:rPr>
        <w:t>, según Artículo 3:</w:t>
      </w:r>
    </w:p>
    <w:p w:rsidR="004827DA" w:rsidRDefault="004827DA" w:rsidP="005D7198">
      <w:pPr>
        <w:jc w:val="both"/>
        <w:rPr>
          <w:i/>
          <w:color w:val="1F3864" w:themeColor="accent1" w:themeShade="80"/>
          <w:sz w:val="20"/>
          <w:szCs w:val="20"/>
        </w:rPr>
      </w:pPr>
    </w:p>
    <w:p w:rsidR="00DA36E8" w:rsidRDefault="004827DA" w:rsidP="005D7198">
      <w:pPr>
        <w:jc w:val="both"/>
        <w:rPr>
          <w:i/>
        </w:rPr>
      </w:pPr>
      <w:r>
        <w:rPr>
          <w:noProof/>
          <w:lang w:eastAsia="es-EC"/>
        </w:rPr>
        <w:drawing>
          <wp:inline distT="0" distB="0" distL="0" distR="0" wp14:anchorId="2780DCF4" wp14:editId="68EAFA31">
            <wp:extent cx="5400040" cy="89471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7C" w:rsidRPr="00FB241E" w:rsidRDefault="00FC769A" w:rsidP="005D7198">
      <w:pPr>
        <w:jc w:val="both"/>
        <w:rPr>
          <w:i/>
          <w:color w:val="1F3864" w:themeColor="accent1" w:themeShade="80"/>
        </w:rPr>
      </w:pPr>
      <w:r>
        <w:rPr>
          <w:i/>
          <w:color w:val="1F3864" w:themeColor="accent1" w:themeShade="80"/>
        </w:rPr>
        <w:t xml:space="preserve">Comentario: </w:t>
      </w:r>
      <w:r w:rsidR="0023707C" w:rsidRPr="00FB241E">
        <w:rPr>
          <w:i/>
          <w:color w:val="1F3864" w:themeColor="accent1" w:themeShade="80"/>
        </w:rPr>
        <w:t xml:space="preserve">La </w:t>
      </w:r>
      <w:r w:rsidR="005D7198">
        <w:rPr>
          <w:i/>
          <w:color w:val="1F3864" w:themeColor="accent1" w:themeShade="80"/>
        </w:rPr>
        <w:t xml:space="preserve"> ARCOTEL</w:t>
      </w:r>
      <w:r w:rsidR="0023707C" w:rsidRPr="00FB241E">
        <w:rPr>
          <w:i/>
          <w:color w:val="1F3864" w:themeColor="accent1" w:themeShade="80"/>
        </w:rPr>
        <w:t xml:space="preserve"> además de considerar datos estadísticos, debe tomar en cuenta el impacto, grado de afectación y urgencia del incidente o vulnerabilidad</w:t>
      </w:r>
    </w:p>
    <w:p w:rsidR="0023707C" w:rsidRDefault="0023707C" w:rsidP="005D7198">
      <w:pPr>
        <w:jc w:val="both"/>
        <w:rPr>
          <w:i/>
        </w:rPr>
      </w:pPr>
    </w:p>
    <w:p w:rsidR="004827DA" w:rsidRDefault="004827DA" w:rsidP="004827DA">
      <w:pPr>
        <w:pStyle w:val="Default"/>
        <w:jc w:val="both"/>
        <w:rPr>
          <w:sz w:val="20"/>
          <w:szCs w:val="20"/>
        </w:rPr>
      </w:pPr>
      <w:r>
        <w:rPr>
          <w:noProof/>
          <w:lang w:eastAsia="es-EC"/>
        </w:rPr>
        <w:lastRenderedPageBreak/>
        <w:drawing>
          <wp:inline distT="0" distB="0" distL="0" distR="0" wp14:anchorId="18BA5A7D" wp14:editId="357324A5">
            <wp:extent cx="5400040" cy="3272155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7C" w:rsidRPr="00FB241E" w:rsidRDefault="0023707C" w:rsidP="005D7198">
      <w:pPr>
        <w:jc w:val="both"/>
        <w:rPr>
          <w:i/>
          <w:color w:val="1F3864" w:themeColor="accent1" w:themeShade="80"/>
          <w:sz w:val="20"/>
          <w:szCs w:val="20"/>
        </w:rPr>
      </w:pPr>
      <w:r w:rsidRPr="00FB241E">
        <w:rPr>
          <w:i/>
          <w:color w:val="1F3864" w:themeColor="accent1" w:themeShade="80"/>
          <w:sz w:val="20"/>
          <w:szCs w:val="20"/>
        </w:rPr>
        <w:t>En principio se debería dar la apertura a que bajo algún tipo de inci</w:t>
      </w:r>
      <w:r w:rsidR="00FC769A">
        <w:rPr>
          <w:i/>
          <w:color w:val="1F3864" w:themeColor="accent1" w:themeShade="80"/>
          <w:sz w:val="20"/>
          <w:szCs w:val="20"/>
        </w:rPr>
        <w:t xml:space="preserve">dente o vulnerabilidad, </w:t>
      </w:r>
      <w:r w:rsidR="00194FE6" w:rsidRPr="00FB241E">
        <w:rPr>
          <w:i/>
          <w:color w:val="1F3864" w:themeColor="accent1" w:themeShade="80"/>
          <w:sz w:val="20"/>
          <w:szCs w:val="20"/>
        </w:rPr>
        <w:t xml:space="preserve"> </w:t>
      </w:r>
      <w:r w:rsidR="005D7198">
        <w:rPr>
          <w:i/>
          <w:color w:val="1F3864" w:themeColor="accent1" w:themeShade="80"/>
          <w:sz w:val="20"/>
          <w:szCs w:val="20"/>
        </w:rPr>
        <w:t>La ARCOTEL</w:t>
      </w:r>
      <w:r w:rsidR="00194FE6" w:rsidRPr="00FB241E">
        <w:rPr>
          <w:i/>
          <w:color w:val="1F3864" w:themeColor="accent1" w:themeShade="80"/>
          <w:sz w:val="20"/>
          <w:szCs w:val="20"/>
        </w:rPr>
        <w:t xml:space="preserve"> modifique el nivel de priori</w:t>
      </w:r>
      <w:r w:rsidR="00FC769A">
        <w:rPr>
          <w:i/>
          <w:color w:val="1F3864" w:themeColor="accent1" w:themeShade="80"/>
          <w:sz w:val="20"/>
          <w:szCs w:val="20"/>
        </w:rPr>
        <w:t xml:space="preserve">dad asignado en un menor tiempo a los 6 </w:t>
      </w:r>
      <w:r w:rsidR="00DB6DEE">
        <w:rPr>
          <w:i/>
          <w:color w:val="1F3864" w:themeColor="accent1" w:themeShade="80"/>
          <w:sz w:val="20"/>
          <w:szCs w:val="20"/>
        </w:rPr>
        <w:t>meses que se indican en el Artí</w:t>
      </w:r>
      <w:r w:rsidR="00FC769A">
        <w:rPr>
          <w:i/>
          <w:color w:val="1F3864" w:themeColor="accent1" w:themeShade="80"/>
          <w:sz w:val="20"/>
          <w:szCs w:val="20"/>
        </w:rPr>
        <w:t>culo</w:t>
      </w:r>
      <w:r w:rsidR="00DB6DEE">
        <w:rPr>
          <w:i/>
          <w:color w:val="1F3864" w:themeColor="accent1" w:themeShade="80"/>
          <w:sz w:val="20"/>
          <w:szCs w:val="20"/>
        </w:rPr>
        <w:t xml:space="preserve"> 11</w:t>
      </w:r>
    </w:p>
    <w:p w:rsidR="00194FE6" w:rsidRDefault="00194FE6" w:rsidP="005D7198">
      <w:pPr>
        <w:jc w:val="both"/>
        <w:rPr>
          <w:i/>
          <w:sz w:val="20"/>
          <w:szCs w:val="20"/>
        </w:rPr>
      </w:pPr>
    </w:p>
    <w:p w:rsidR="00194FE6" w:rsidRDefault="004827DA" w:rsidP="004827DA">
      <w:pPr>
        <w:pStyle w:val="Default"/>
        <w:jc w:val="both"/>
        <w:rPr>
          <w:sz w:val="20"/>
          <w:szCs w:val="20"/>
        </w:rPr>
      </w:pPr>
      <w:r>
        <w:rPr>
          <w:noProof/>
          <w:lang w:eastAsia="es-EC"/>
        </w:rPr>
        <w:drawing>
          <wp:inline distT="0" distB="0" distL="0" distR="0" wp14:anchorId="27D7881D" wp14:editId="6EC71EF5">
            <wp:extent cx="5400040" cy="2265680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E6" w:rsidRPr="00FB241E" w:rsidRDefault="00DB6DEE" w:rsidP="005D7198">
      <w:pPr>
        <w:jc w:val="both"/>
        <w:rPr>
          <w:i/>
          <w:color w:val="1F3864" w:themeColor="accent1" w:themeShade="80"/>
          <w:sz w:val="20"/>
          <w:szCs w:val="20"/>
        </w:rPr>
      </w:pPr>
      <w:r>
        <w:rPr>
          <w:i/>
          <w:color w:val="1F3864" w:themeColor="accent1" w:themeShade="80"/>
          <w:sz w:val="20"/>
          <w:szCs w:val="20"/>
        </w:rPr>
        <w:t xml:space="preserve">Comentario: </w:t>
      </w:r>
      <w:r w:rsidR="00194FE6" w:rsidRPr="00FB241E">
        <w:rPr>
          <w:i/>
          <w:color w:val="1F3864" w:themeColor="accent1" w:themeShade="80"/>
          <w:sz w:val="20"/>
          <w:szCs w:val="20"/>
        </w:rPr>
        <w:t xml:space="preserve">Se solicita que lo impuesto en el Art17 </w:t>
      </w:r>
      <w:r w:rsidR="0048372B" w:rsidRPr="00FB241E">
        <w:rPr>
          <w:i/>
          <w:color w:val="1F3864" w:themeColor="accent1" w:themeShade="80"/>
          <w:sz w:val="20"/>
          <w:szCs w:val="20"/>
        </w:rPr>
        <w:t>no sea obligación, sino una recomendación para que los operadores preserven la información relacionada con la gestión de los incidentes y vulnerabilidades</w:t>
      </w:r>
    </w:p>
    <w:p w:rsidR="004C3269" w:rsidRDefault="004C3269" w:rsidP="005D7198">
      <w:pPr>
        <w:jc w:val="both"/>
        <w:rPr>
          <w:i/>
          <w:sz w:val="20"/>
          <w:szCs w:val="20"/>
        </w:rPr>
      </w:pPr>
    </w:p>
    <w:p w:rsidR="0048372B" w:rsidRDefault="004827DA" w:rsidP="004827DA">
      <w:pPr>
        <w:pStyle w:val="Default"/>
        <w:jc w:val="both"/>
        <w:rPr>
          <w:sz w:val="20"/>
          <w:szCs w:val="20"/>
        </w:rPr>
      </w:pPr>
      <w:r>
        <w:rPr>
          <w:noProof/>
          <w:lang w:eastAsia="es-EC"/>
        </w:rPr>
        <w:drawing>
          <wp:inline distT="0" distB="0" distL="0" distR="0" wp14:anchorId="7F5259C5" wp14:editId="102D8033">
            <wp:extent cx="5400040" cy="103314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72B">
        <w:rPr>
          <w:sz w:val="20"/>
          <w:szCs w:val="20"/>
        </w:rPr>
        <w:t xml:space="preserve"> </w:t>
      </w:r>
    </w:p>
    <w:p w:rsidR="0048372B" w:rsidRDefault="0048372B" w:rsidP="005D7198">
      <w:pPr>
        <w:jc w:val="both"/>
        <w:rPr>
          <w:i/>
          <w:color w:val="1F3864" w:themeColor="accent1" w:themeShade="80"/>
        </w:rPr>
      </w:pPr>
      <w:r w:rsidRPr="00FB241E">
        <w:rPr>
          <w:i/>
          <w:color w:val="1F3864" w:themeColor="accent1" w:themeShade="80"/>
        </w:rPr>
        <w:t>Se solicita se especifique y ejemplifique el alcance que tiene lo considerado en el Art17 y 18 respecto a la información referente a la gestión de vulnerabilidades e incidentes.</w:t>
      </w:r>
      <w:r w:rsidR="00DB6DEE">
        <w:rPr>
          <w:i/>
          <w:color w:val="1F3864" w:themeColor="accent1" w:themeShade="80"/>
        </w:rPr>
        <w:t xml:space="preserve"> De la forma descrita, es ambigua y generaría altos costos de almacenamiento de manera innecesaria.</w:t>
      </w:r>
    </w:p>
    <w:p w:rsidR="0009067E" w:rsidRPr="0009067E" w:rsidRDefault="009B409A" w:rsidP="009B409A">
      <w:pPr>
        <w:jc w:val="both"/>
        <w:rPr>
          <w:i/>
        </w:rPr>
      </w:pPr>
      <w:r>
        <w:rPr>
          <w:noProof/>
          <w:lang w:eastAsia="es-EC"/>
        </w:rPr>
        <w:lastRenderedPageBreak/>
        <w:drawing>
          <wp:inline distT="0" distB="0" distL="0" distR="0" wp14:anchorId="35FF874A" wp14:editId="4E66859F">
            <wp:extent cx="4953000" cy="203909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6454" cy="204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67E" w:rsidRPr="0009067E">
        <w:rPr>
          <w:i/>
        </w:rPr>
        <w:t xml:space="preserve"> </w:t>
      </w:r>
    </w:p>
    <w:p w:rsidR="0009067E" w:rsidRDefault="00DB6DEE" w:rsidP="005D7198">
      <w:pPr>
        <w:jc w:val="both"/>
        <w:rPr>
          <w:i/>
          <w:color w:val="1F3864" w:themeColor="accent1" w:themeShade="80"/>
        </w:rPr>
      </w:pPr>
      <w:r>
        <w:rPr>
          <w:i/>
          <w:color w:val="1F3864" w:themeColor="accent1" w:themeShade="80"/>
        </w:rPr>
        <w:t xml:space="preserve">Comentario: </w:t>
      </w:r>
      <w:r w:rsidR="0009067E" w:rsidRPr="0009067E">
        <w:rPr>
          <w:i/>
          <w:color w:val="1F3864" w:themeColor="accent1" w:themeShade="80"/>
        </w:rPr>
        <w:t xml:space="preserve">Se recomienda proporcionar un formato en el que se reporte la asignación de direcciones </w:t>
      </w:r>
      <w:proofErr w:type="spellStart"/>
      <w:r w:rsidR="0009067E" w:rsidRPr="0009067E">
        <w:rPr>
          <w:i/>
          <w:color w:val="1F3864" w:themeColor="accent1" w:themeShade="80"/>
        </w:rPr>
        <w:t>IPs</w:t>
      </w:r>
      <w:proofErr w:type="spellEnd"/>
      <w:r w:rsidR="0009067E" w:rsidRPr="0009067E">
        <w:rPr>
          <w:i/>
          <w:color w:val="1F3864" w:themeColor="accent1" w:themeShade="80"/>
        </w:rPr>
        <w:t xml:space="preserve">  </w:t>
      </w:r>
    </w:p>
    <w:p w:rsidR="002065AD" w:rsidRDefault="002065AD" w:rsidP="005D7198">
      <w:pPr>
        <w:jc w:val="both"/>
        <w:rPr>
          <w:i/>
          <w:color w:val="1F3864" w:themeColor="accent1" w:themeShade="80"/>
        </w:rPr>
      </w:pPr>
      <w:r w:rsidRPr="00BF7D9D">
        <w:rPr>
          <w:b/>
          <w:i/>
          <w:color w:val="000000" w:themeColor="text1"/>
        </w:rPr>
        <w:t>Artículo</w:t>
      </w:r>
      <w:r>
        <w:rPr>
          <w:b/>
          <w:i/>
          <w:color w:val="000000" w:themeColor="text1"/>
        </w:rPr>
        <w:t xml:space="preserve"> </w:t>
      </w:r>
      <w:proofErr w:type="gramStart"/>
      <w:r>
        <w:rPr>
          <w:b/>
          <w:i/>
          <w:color w:val="000000" w:themeColor="text1"/>
        </w:rPr>
        <w:t xml:space="preserve">22 </w:t>
      </w:r>
      <w:r w:rsidRPr="00BF7D9D">
        <w:rPr>
          <w:i/>
          <w:color w:val="000000" w:themeColor="text1"/>
        </w:rPr>
        <w:t>.-</w:t>
      </w:r>
      <w:proofErr w:type="gramEnd"/>
    </w:p>
    <w:p w:rsidR="00BF7D9D" w:rsidRDefault="002065AD" w:rsidP="002065AD">
      <w:pPr>
        <w:jc w:val="both"/>
        <w:rPr>
          <w:i/>
          <w:color w:val="000000" w:themeColor="text1"/>
        </w:rPr>
      </w:pPr>
      <w:r>
        <w:rPr>
          <w:noProof/>
          <w:lang w:eastAsia="es-EC"/>
        </w:rPr>
        <w:drawing>
          <wp:inline distT="0" distB="0" distL="0" distR="0" wp14:anchorId="690323E2" wp14:editId="3439CDFF">
            <wp:extent cx="4519246" cy="51330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1701" cy="513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9D" w:rsidRDefault="00DB6DEE" w:rsidP="005D7198">
      <w:pPr>
        <w:jc w:val="both"/>
        <w:rPr>
          <w:i/>
          <w:color w:val="2F5496" w:themeColor="accent1" w:themeShade="BF"/>
        </w:rPr>
      </w:pPr>
      <w:r>
        <w:rPr>
          <w:i/>
          <w:color w:val="2F5496" w:themeColor="accent1" w:themeShade="BF"/>
        </w:rPr>
        <w:t xml:space="preserve">Comentario: </w:t>
      </w:r>
      <w:r w:rsidR="00955337">
        <w:rPr>
          <w:i/>
          <w:color w:val="2F5496" w:themeColor="accent1" w:themeShade="BF"/>
        </w:rPr>
        <w:t>Es oportuno</w:t>
      </w:r>
      <w:r w:rsidR="00BF7D9D" w:rsidRPr="00BF7D9D">
        <w:rPr>
          <w:i/>
          <w:color w:val="2F5496" w:themeColor="accent1" w:themeShade="BF"/>
        </w:rPr>
        <w:t xml:space="preserve"> puntualizar si estas horas </w:t>
      </w:r>
      <w:r w:rsidR="00955337">
        <w:rPr>
          <w:i/>
          <w:color w:val="2F5496" w:themeColor="accent1" w:themeShade="BF"/>
        </w:rPr>
        <w:t>cont</w:t>
      </w:r>
      <w:r>
        <w:rPr>
          <w:i/>
          <w:color w:val="2F5496" w:themeColor="accent1" w:themeShade="BF"/>
        </w:rPr>
        <w:t>i</w:t>
      </w:r>
      <w:r w:rsidR="00955337">
        <w:rPr>
          <w:i/>
          <w:color w:val="2F5496" w:themeColor="accent1" w:themeShade="BF"/>
        </w:rPr>
        <w:t xml:space="preserve">nuas incluyen </w:t>
      </w:r>
      <w:r w:rsidR="00664B97">
        <w:rPr>
          <w:i/>
          <w:color w:val="2F5496" w:themeColor="accent1" w:themeShade="BF"/>
        </w:rPr>
        <w:t>fines de semana o feriados</w:t>
      </w:r>
    </w:p>
    <w:p w:rsidR="004C3269" w:rsidRPr="00BF7D9D" w:rsidRDefault="004C3269" w:rsidP="005D7198">
      <w:pPr>
        <w:jc w:val="both"/>
        <w:rPr>
          <w:i/>
          <w:color w:val="2F5496" w:themeColor="accent1" w:themeShade="BF"/>
        </w:rPr>
      </w:pPr>
    </w:p>
    <w:p w:rsidR="00955337" w:rsidRPr="00955337" w:rsidRDefault="00F42799" w:rsidP="005D7198">
      <w:pPr>
        <w:jc w:val="both"/>
        <w:rPr>
          <w:b/>
          <w:i/>
        </w:rPr>
      </w:pPr>
      <w:r>
        <w:rPr>
          <w:b/>
          <w:i/>
        </w:rPr>
        <w:lastRenderedPageBreak/>
        <w:t>Artículo23</w:t>
      </w:r>
      <w:r w:rsidR="00955337" w:rsidRPr="00955337">
        <w:rPr>
          <w:b/>
          <w:i/>
        </w:rPr>
        <w:t xml:space="preserve">  </w:t>
      </w:r>
    </w:p>
    <w:p w:rsidR="004120CF" w:rsidRDefault="00F42799" w:rsidP="005D7198">
      <w:pPr>
        <w:jc w:val="both"/>
        <w:rPr>
          <w:i/>
          <w:color w:val="1F3864" w:themeColor="accent1" w:themeShade="80"/>
        </w:rPr>
      </w:pPr>
      <w:r>
        <w:rPr>
          <w:noProof/>
          <w:lang w:eastAsia="es-EC"/>
        </w:rPr>
        <w:drawing>
          <wp:inline distT="0" distB="0" distL="0" distR="0" wp14:anchorId="74EE1512" wp14:editId="242ACE32">
            <wp:extent cx="5400040" cy="11906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5AD">
        <w:rPr>
          <w:i/>
          <w:color w:val="1F3864" w:themeColor="accent1" w:themeShade="80"/>
        </w:rPr>
        <w:t xml:space="preserve">Comentario: </w:t>
      </w:r>
      <w:r w:rsidR="004120CF" w:rsidRPr="004120CF">
        <w:rPr>
          <w:i/>
          <w:color w:val="1F3864" w:themeColor="accent1" w:themeShade="80"/>
        </w:rPr>
        <w:t xml:space="preserve">Se requiere que </w:t>
      </w:r>
      <w:r w:rsidR="005D7198">
        <w:rPr>
          <w:i/>
          <w:color w:val="1F3864" w:themeColor="accent1" w:themeShade="80"/>
        </w:rPr>
        <w:t>La ARCOTEL</w:t>
      </w:r>
      <w:r w:rsidR="004120CF" w:rsidRPr="004120CF">
        <w:rPr>
          <w:i/>
          <w:color w:val="1F3864" w:themeColor="accent1" w:themeShade="80"/>
        </w:rPr>
        <w:t xml:space="preserve"> también comunique </w:t>
      </w:r>
      <w:r w:rsidR="004120CF">
        <w:rPr>
          <w:i/>
          <w:color w:val="1F3864" w:themeColor="accent1" w:themeShade="80"/>
        </w:rPr>
        <w:t xml:space="preserve">a los Prestadores de Servicios </w:t>
      </w:r>
      <w:r w:rsidR="004120CF" w:rsidRPr="004120CF">
        <w:rPr>
          <w:i/>
          <w:color w:val="1F3864" w:themeColor="accent1" w:themeShade="80"/>
        </w:rPr>
        <w:t>cuando acepta como ATENDIDOS</w:t>
      </w:r>
      <w:r w:rsidR="004120CF">
        <w:rPr>
          <w:i/>
          <w:color w:val="1F3864" w:themeColor="accent1" w:themeShade="80"/>
        </w:rPr>
        <w:t xml:space="preserve"> aquellos casos que fueron </w:t>
      </w:r>
      <w:r w:rsidR="004120CF" w:rsidRPr="004120CF">
        <w:rPr>
          <w:i/>
          <w:color w:val="1F3864" w:themeColor="accent1" w:themeShade="80"/>
        </w:rPr>
        <w:t>solventa</w:t>
      </w:r>
      <w:r w:rsidR="004120CF">
        <w:rPr>
          <w:i/>
          <w:color w:val="1F3864" w:themeColor="accent1" w:themeShade="80"/>
        </w:rPr>
        <w:t>dos</w:t>
      </w:r>
      <w:r w:rsidR="004120CF" w:rsidRPr="004120CF">
        <w:rPr>
          <w:i/>
          <w:color w:val="1F3864" w:themeColor="accent1" w:themeShade="80"/>
        </w:rPr>
        <w:t xml:space="preserve"> sin </w:t>
      </w:r>
      <w:r w:rsidR="004120CF">
        <w:rPr>
          <w:i/>
          <w:color w:val="1F3864" w:themeColor="accent1" w:themeShade="80"/>
        </w:rPr>
        <w:t xml:space="preserve">haber pasado </w:t>
      </w:r>
      <w:r w:rsidR="004120CF" w:rsidRPr="004120CF">
        <w:rPr>
          <w:i/>
          <w:color w:val="1F3864" w:themeColor="accent1" w:themeShade="80"/>
        </w:rPr>
        <w:t>por e</w:t>
      </w:r>
      <w:r w:rsidR="002065AD">
        <w:rPr>
          <w:i/>
          <w:color w:val="1F3864" w:themeColor="accent1" w:themeShade="80"/>
        </w:rPr>
        <w:t>l estado de PENDIENTES o EN ANÁL</w:t>
      </w:r>
      <w:r w:rsidR="004120CF" w:rsidRPr="004120CF">
        <w:rPr>
          <w:i/>
          <w:color w:val="1F3864" w:themeColor="accent1" w:themeShade="80"/>
        </w:rPr>
        <w:t>ISIS</w:t>
      </w:r>
      <w:r w:rsidR="004120CF">
        <w:rPr>
          <w:i/>
          <w:color w:val="1F3864" w:themeColor="accent1" w:themeShade="80"/>
        </w:rPr>
        <w:t>.</w:t>
      </w:r>
    </w:p>
    <w:p w:rsidR="008A62ED" w:rsidRDefault="008A62ED" w:rsidP="005D7198">
      <w:pPr>
        <w:jc w:val="both"/>
        <w:rPr>
          <w:i/>
          <w:color w:val="1F3864" w:themeColor="accent1" w:themeShade="80"/>
        </w:rPr>
      </w:pPr>
    </w:p>
    <w:p w:rsidR="008A62ED" w:rsidRDefault="008A62ED" w:rsidP="005D7198">
      <w:pPr>
        <w:jc w:val="both"/>
        <w:rPr>
          <w:i/>
          <w:color w:val="1F3864" w:themeColor="accent1" w:themeShade="80"/>
        </w:rPr>
      </w:pPr>
      <w:r>
        <w:rPr>
          <w:noProof/>
          <w:lang w:eastAsia="es-EC"/>
        </w:rPr>
        <w:drawing>
          <wp:inline distT="0" distB="0" distL="0" distR="0" wp14:anchorId="0A9D9AE2" wp14:editId="7EFC16C3">
            <wp:extent cx="5400040" cy="425069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2ED" w:rsidRDefault="008A62ED" w:rsidP="005D7198">
      <w:pPr>
        <w:jc w:val="both"/>
        <w:rPr>
          <w:i/>
          <w:color w:val="1F3864" w:themeColor="accent1" w:themeShade="80"/>
        </w:rPr>
      </w:pPr>
      <w:r>
        <w:rPr>
          <w:i/>
          <w:color w:val="1F3864" w:themeColor="accent1" w:themeShade="80"/>
        </w:rPr>
        <w:t xml:space="preserve">Comentario: Considerar la modificación de lo resaltado por: </w:t>
      </w:r>
    </w:p>
    <w:p w:rsidR="008A62ED" w:rsidRDefault="008A62ED" w:rsidP="008A62ED">
      <w:pPr>
        <w:jc w:val="center"/>
        <w:rPr>
          <w:i/>
          <w:color w:val="1F3864" w:themeColor="accent1" w:themeShade="80"/>
        </w:rPr>
      </w:pPr>
      <w:r>
        <w:rPr>
          <w:i/>
          <w:color w:val="1F3864" w:themeColor="accent1" w:themeShade="80"/>
          <w:lang w:val="es-ES"/>
        </w:rPr>
        <w:t>“y este último se sujetará</w:t>
      </w:r>
      <w:r w:rsidRPr="008A62ED">
        <w:rPr>
          <w:i/>
          <w:color w:val="1F3864" w:themeColor="accent1" w:themeShade="80"/>
          <w:lang w:val="es-ES"/>
        </w:rPr>
        <w:t xml:space="preserve"> al cometimiento de  los cambios correspondientes</w:t>
      </w:r>
      <w:r>
        <w:rPr>
          <w:i/>
          <w:color w:val="1F3864" w:themeColor="accent1" w:themeShade="80"/>
          <w:lang w:val="es-ES"/>
        </w:rPr>
        <w:t>”</w:t>
      </w:r>
    </w:p>
    <w:p w:rsidR="008A62ED" w:rsidRPr="00F42799" w:rsidRDefault="008A62ED" w:rsidP="005D7198">
      <w:pPr>
        <w:jc w:val="both"/>
        <w:rPr>
          <w:i/>
        </w:rPr>
      </w:pPr>
    </w:p>
    <w:p w:rsidR="009F64F3" w:rsidRPr="00F42799" w:rsidRDefault="00F42799" w:rsidP="005D7198">
      <w:pPr>
        <w:jc w:val="both"/>
        <w:rPr>
          <w:i/>
        </w:rPr>
      </w:pPr>
      <w:r>
        <w:rPr>
          <w:noProof/>
          <w:lang w:eastAsia="es-EC"/>
        </w:rPr>
        <w:lastRenderedPageBreak/>
        <w:drawing>
          <wp:inline distT="0" distB="0" distL="0" distR="0" wp14:anchorId="6B1B3C29" wp14:editId="60F67B36">
            <wp:extent cx="5400040" cy="219583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C22">
        <w:rPr>
          <w:i/>
          <w:color w:val="1F3864" w:themeColor="accent1" w:themeShade="80"/>
        </w:rPr>
        <w:t xml:space="preserve">Comentario: </w:t>
      </w:r>
      <w:r w:rsidR="00FA315A">
        <w:rPr>
          <w:i/>
          <w:color w:val="1F3864" w:themeColor="accent1" w:themeShade="80"/>
        </w:rPr>
        <w:t>En los derechos s</w:t>
      </w:r>
      <w:r w:rsidR="009F64F3" w:rsidRPr="009F64F3">
        <w:rPr>
          <w:i/>
          <w:color w:val="1F3864" w:themeColor="accent1" w:themeShade="80"/>
        </w:rPr>
        <w:t>e requiere empoderar a los Prestadores en la adopción de medidas sobre el servicio brindado a clientes, abonados o suscriptores orientadas a solventar vulnerabilidades o incidentes</w:t>
      </w:r>
    </w:p>
    <w:p w:rsidR="004C3269" w:rsidRDefault="004C3269" w:rsidP="005D7198">
      <w:pPr>
        <w:jc w:val="both"/>
        <w:rPr>
          <w:i/>
          <w:color w:val="1F3864" w:themeColor="accent1" w:themeShade="80"/>
        </w:rPr>
      </w:pPr>
    </w:p>
    <w:p w:rsidR="00FA315A" w:rsidRDefault="00F42799" w:rsidP="005D7198">
      <w:pPr>
        <w:jc w:val="both"/>
        <w:rPr>
          <w:i/>
          <w:color w:val="1F3864" w:themeColor="accent1" w:themeShade="80"/>
        </w:rPr>
      </w:pPr>
      <w:r>
        <w:rPr>
          <w:noProof/>
          <w:lang w:eastAsia="es-EC"/>
        </w:rPr>
        <w:drawing>
          <wp:inline distT="0" distB="0" distL="0" distR="0" wp14:anchorId="7F834E9F" wp14:editId="11253B75">
            <wp:extent cx="5400040" cy="906780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C22">
        <w:rPr>
          <w:i/>
          <w:color w:val="1F3864" w:themeColor="accent1" w:themeShade="80"/>
        </w:rPr>
        <w:t>Comentario: LA ARCOTEL debería so</w:t>
      </w:r>
      <w:r w:rsidR="00EE60EC">
        <w:rPr>
          <w:i/>
          <w:color w:val="1F3864" w:themeColor="accent1" w:themeShade="80"/>
        </w:rPr>
        <w:t>licitar a los prestadores</w:t>
      </w:r>
      <w:r w:rsidR="00844C22">
        <w:rPr>
          <w:i/>
          <w:color w:val="1F3864" w:themeColor="accent1" w:themeShade="80"/>
        </w:rPr>
        <w:t xml:space="preserve"> </w:t>
      </w:r>
      <w:r w:rsidR="00EE60EC">
        <w:rPr>
          <w:i/>
          <w:color w:val="1F3864" w:themeColor="accent1" w:themeShade="80"/>
        </w:rPr>
        <w:t>la política de seguridad, misma que en cada caso debe contemplar auditorías de seguridad, bajo las condiciones y requerimientos de cada operador.</w:t>
      </w:r>
    </w:p>
    <w:p w:rsidR="00EE60EC" w:rsidRDefault="00EE60EC" w:rsidP="005D7198">
      <w:pPr>
        <w:jc w:val="both"/>
        <w:rPr>
          <w:i/>
          <w:color w:val="1F3864" w:themeColor="accent1" w:themeShade="80"/>
        </w:rPr>
      </w:pPr>
      <w:r>
        <w:rPr>
          <w:i/>
          <w:color w:val="1F3864" w:themeColor="accent1" w:themeShade="80"/>
        </w:rPr>
        <w:t xml:space="preserve">LA ARCOTEL en base </w:t>
      </w:r>
      <w:bookmarkStart w:id="0" w:name="_GoBack"/>
      <w:bookmarkEnd w:id="0"/>
      <w:r>
        <w:rPr>
          <w:i/>
          <w:color w:val="1F3864" w:themeColor="accent1" w:themeShade="80"/>
        </w:rPr>
        <w:t>a las políticas de seguridad de cada prestador podría planificar inspecciones de cumplimiento de la política y dar recomendaciones acorde a los resultados de las mismas.</w:t>
      </w:r>
    </w:p>
    <w:p w:rsidR="00FA315A" w:rsidRDefault="00FA315A" w:rsidP="005D7198">
      <w:pPr>
        <w:jc w:val="both"/>
        <w:rPr>
          <w:i/>
          <w:color w:val="1F3864" w:themeColor="accent1" w:themeShade="80"/>
        </w:rPr>
      </w:pPr>
    </w:p>
    <w:p w:rsidR="00FA315A" w:rsidRPr="00FA315A" w:rsidRDefault="00FA315A" w:rsidP="005D7198">
      <w:pPr>
        <w:jc w:val="both"/>
        <w:rPr>
          <w:i/>
          <w:color w:val="1F3864" w:themeColor="accent1" w:themeShade="80"/>
        </w:rPr>
      </w:pPr>
    </w:p>
    <w:p w:rsidR="009F64F3" w:rsidRPr="009F64F3" w:rsidRDefault="009F64F3" w:rsidP="005D7198">
      <w:pPr>
        <w:jc w:val="both"/>
        <w:rPr>
          <w:i/>
          <w:color w:val="1F3864" w:themeColor="accent1" w:themeShade="80"/>
        </w:rPr>
      </w:pPr>
    </w:p>
    <w:sectPr w:rsidR="009F64F3" w:rsidRPr="009F64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75A2A8D4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60B49ED"/>
    <w:multiLevelType w:val="hybridMultilevel"/>
    <w:tmpl w:val="72140900"/>
    <w:lvl w:ilvl="0" w:tplc="300A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472BE"/>
    <w:multiLevelType w:val="hybridMultilevel"/>
    <w:tmpl w:val="D206DD64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637"/>
    <w:rsid w:val="00052431"/>
    <w:rsid w:val="0009067E"/>
    <w:rsid w:val="0009103B"/>
    <w:rsid w:val="00115B94"/>
    <w:rsid w:val="00194FE6"/>
    <w:rsid w:val="001A21CE"/>
    <w:rsid w:val="002065AD"/>
    <w:rsid w:val="0023707C"/>
    <w:rsid w:val="002435C2"/>
    <w:rsid w:val="003465DB"/>
    <w:rsid w:val="004120CF"/>
    <w:rsid w:val="004827DA"/>
    <w:rsid w:val="0048372B"/>
    <w:rsid w:val="004C3269"/>
    <w:rsid w:val="005A1402"/>
    <w:rsid w:val="005D7198"/>
    <w:rsid w:val="00664B97"/>
    <w:rsid w:val="00726FB8"/>
    <w:rsid w:val="00844C22"/>
    <w:rsid w:val="008A62ED"/>
    <w:rsid w:val="008F6637"/>
    <w:rsid w:val="00955337"/>
    <w:rsid w:val="009B409A"/>
    <w:rsid w:val="009F64F3"/>
    <w:rsid w:val="00BF7D9D"/>
    <w:rsid w:val="00DA36E8"/>
    <w:rsid w:val="00DB6DEE"/>
    <w:rsid w:val="00DE442A"/>
    <w:rsid w:val="00EE60EC"/>
    <w:rsid w:val="00F42799"/>
    <w:rsid w:val="00FA315A"/>
    <w:rsid w:val="00FB241E"/>
    <w:rsid w:val="00FC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8F66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4837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837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BF7D9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F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8F66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4837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837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BF7D9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F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FAB52-DCFF-49FE-B607-4B8F4685A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765</Words>
  <Characters>4209</Characters>
  <Application>Microsoft Office Word</Application>
  <DocSecurity>4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Villacís</dc:creator>
  <cp:lastModifiedBy>Francisco Balarezo</cp:lastModifiedBy>
  <cp:revision>2</cp:revision>
  <dcterms:created xsi:type="dcterms:W3CDTF">2017-12-07T22:23:00Z</dcterms:created>
  <dcterms:modified xsi:type="dcterms:W3CDTF">2017-12-07T22:23:00Z</dcterms:modified>
</cp:coreProperties>
</file>